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B26C55" w14:textId="3023EF4E" w:rsidR="0080006A" w:rsidRDefault="0080006A" w:rsidP="0080006A">
      <w:pPr>
        <w:pStyle w:val="ac"/>
        <w:widowControl w:val="0"/>
        <w:spacing w:before="40" w:after="40" w:line="312" w:lineRule="auto"/>
        <w:ind w:firstLine="0"/>
        <w:rPr>
          <w:b/>
          <w:sz w:val="24"/>
        </w:rPr>
      </w:pPr>
      <w:r w:rsidRPr="001A7715">
        <w:rPr>
          <w:noProof/>
        </w:rPr>
        <w:drawing>
          <wp:anchor distT="0" distB="0" distL="114300" distR="114300" simplePos="0" relativeHeight="251659264" behindDoc="1" locked="0" layoutInCell="1" allowOverlap="1" wp14:anchorId="103F4A96" wp14:editId="67399824">
            <wp:simplePos x="0" y="0"/>
            <wp:positionH relativeFrom="page">
              <wp:posOffset>-75064</wp:posOffset>
            </wp:positionH>
            <wp:positionV relativeFrom="paragraph">
              <wp:posOffset>-435743</wp:posOffset>
            </wp:positionV>
            <wp:extent cx="7615451" cy="11525250"/>
            <wp:effectExtent l="0" t="0" r="5080" b="0"/>
            <wp:wrapNone/>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615982" cy="11526054"/>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1312" behindDoc="0" locked="0" layoutInCell="1" allowOverlap="1" wp14:anchorId="615F0A3D" wp14:editId="47B9E001">
                <wp:simplePos x="0" y="0"/>
                <wp:positionH relativeFrom="column">
                  <wp:posOffset>2243206</wp:posOffset>
                </wp:positionH>
                <wp:positionV relativeFrom="paragraph">
                  <wp:posOffset>-305076</wp:posOffset>
                </wp:positionV>
                <wp:extent cx="3357880" cy="699715"/>
                <wp:effectExtent l="0" t="0" r="13970" b="24765"/>
                <wp:wrapNone/>
                <wp:docPr id="18" name="Надпись 18"/>
                <wp:cNvGraphicFramePr/>
                <a:graphic xmlns:a="http://schemas.openxmlformats.org/drawingml/2006/main">
                  <a:graphicData uri="http://schemas.microsoft.com/office/word/2010/wordprocessingShape">
                    <wps:wsp>
                      <wps:cNvSpPr txBox="1"/>
                      <wps:spPr>
                        <a:xfrm>
                          <a:off x="0" y="0"/>
                          <a:ext cx="3357880" cy="699715"/>
                        </a:xfrm>
                        <a:prstGeom prst="rect">
                          <a:avLst/>
                        </a:prstGeom>
                        <a:solidFill>
                          <a:schemeClr val="lt1"/>
                        </a:solidFill>
                        <a:ln w="6350">
                          <a:solidFill>
                            <a:schemeClr val="bg1"/>
                          </a:solidFill>
                        </a:ln>
                      </wps:spPr>
                      <wps:txbx>
                        <w:txbxContent>
                          <w:p w14:paraId="323C66E8" w14:textId="77777777" w:rsidR="0080006A" w:rsidRPr="006F7171" w:rsidRDefault="0080006A" w:rsidP="0080006A">
                            <w:pPr>
                              <w:rPr>
                                <w:b/>
                                <w:sz w:val="36"/>
                                <w:lang w:val="en-US"/>
                              </w:rPr>
                            </w:pPr>
                            <w:r>
                              <w:rPr>
                                <w:b/>
                                <w:color w:val="02AE48"/>
                                <w:sz w:val="44"/>
                                <w:szCs w:val="44"/>
                                <w:lang w:val="en-US"/>
                              </w:rPr>
                              <w:t>S</w:t>
                            </w:r>
                            <w:r w:rsidRPr="00567119">
                              <w:rPr>
                                <w:b/>
                                <w:color w:val="02AE48"/>
                                <w:sz w:val="44"/>
                                <w:szCs w:val="44"/>
                                <w:lang w:val="en-US"/>
                              </w:rPr>
                              <w:t>tructured deposit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5F0A3D" id="_x0000_t202" coordsize="21600,21600" o:spt="202" path="m,l,21600r21600,l21600,xe">
                <v:stroke joinstyle="miter"/>
                <v:path gradientshapeok="t" o:connecttype="rect"/>
              </v:shapetype>
              <v:shape id="Надпись 18" o:spid="_x0000_s1026" type="#_x0000_t202" style="position:absolute;left:0;text-align:left;margin-left:176.65pt;margin-top:-24pt;width:264.4pt;height:55.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" fillcolor="white [3201]" strokecolor="white [3212]" strokeweight=".5pt">
                <v:textbox>
                  <w:txbxContent>
                    <w:p w14:paraId="323C66E8" w14:textId="77777777" w:rsidR="0080006A" w:rsidRPr="006F7171" w:rsidRDefault="0080006A" w:rsidP="0080006A">
                      <w:pPr>
                        <w:rPr>
                          <w:b/>
                          <w:sz w:val="36"/>
                          <w:lang w:val="en-US"/>
                        </w:rPr>
                      </w:pPr>
                      <w:r>
                        <w:rPr>
                          <w:b/>
                          <w:color w:val="02AE48"/>
                          <w:sz w:val="44"/>
                          <w:szCs w:val="44"/>
                          <w:lang w:val="en-US"/>
                        </w:rPr>
                        <w:t>S</w:t>
                      </w:r>
                      <w:r w:rsidRPr="00567119">
                        <w:rPr>
                          <w:b/>
                          <w:color w:val="02AE48"/>
                          <w:sz w:val="44"/>
                          <w:szCs w:val="44"/>
                          <w:lang w:val="en-US"/>
                        </w:rPr>
                        <w:t>tructured deposit</w:t>
                      </w:r>
                    </w:p>
                  </w:txbxContent>
                </v:textbox>
              </v:shape>
            </w:pict>
          </mc:Fallback>
        </mc:AlternateContent>
      </w:r>
    </w:p>
    <w:p w14:paraId="55F2AD7A" w14:textId="77777777" w:rsidR="0080006A" w:rsidRDefault="0080006A" w:rsidP="0080006A">
      <w:pPr>
        <w:pStyle w:val="ac"/>
        <w:widowControl w:val="0"/>
        <w:spacing w:line="312" w:lineRule="auto"/>
        <w:ind w:left="6654" w:firstLine="426"/>
        <w:jc w:val="center"/>
        <w:rPr>
          <w:b/>
          <w:sz w:val="23"/>
          <w:szCs w:val="23"/>
          <w:lang w:val="en-US"/>
        </w:rPr>
      </w:pPr>
      <w:r>
        <w:rPr>
          <w:noProof/>
        </w:rPr>
        <mc:AlternateContent>
          <mc:Choice Requires="wps">
            <w:drawing>
              <wp:anchor distT="0" distB="0" distL="114300" distR="114300" simplePos="0" relativeHeight="251660288" behindDoc="0" locked="0" layoutInCell="1" allowOverlap="1" wp14:anchorId="4B0F428A" wp14:editId="23789215">
                <wp:simplePos x="0" y="0"/>
                <wp:positionH relativeFrom="column">
                  <wp:posOffset>2793299</wp:posOffset>
                </wp:positionH>
                <wp:positionV relativeFrom="paragraph">
                  <wp:posOffset>-187916</wp:posOffset>
                </wp:positionV>
                <wp:extent cx="2371725" cy="457200"/>
                <wp:effectExtent l="0" t="0" r="28575" b="19050"/>
                <wp:wrapNone/>
                <wp:docPr id="14" name="Прямоугольник 14"/>
                <wp:cNvGraphicFramePr/>
                <a:graphic xmlns:a="http://schemas.openxmlformats.org/drawingml/2006/main">
                  <a:graphicData uri="http://schemas.microsoft.com/office/word/2010/wordprocessingShape">
                    <wps:wsp>
                      <wps:cNvSpPr/>
                      <wps:spPr>
                        <a:xfrm>
                          <a:off x="0" y="0"/>
                          <a:ext cx="2371725" cy="4572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3F6418" id="Прямоугольник 14" o:spid="_x0000_s1026" style="position:absolute;margin-left:219.95pt;margin-top:-14.8pt;width:186.75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" fillcolor="white [3212]" strokecolor="white [3212]" strokeweight="1pt"/>
            </w:pict>
          </mc:Fallback>
        </mc:AlternateContent>
      </w:r>
    </w:p>
    <w:p w14:paraId="1F0570F9" w14:textId="77777777" w:rsidR="00D71BF0" w:rsidRDefault="00D71BF0" w:rsidP="0080006A">
      <w:pPr>
        <w:pStyle w:val="ac"/>
        <w:widowControl w:val="0"/>
        <w:spacing w:line="312" w:lineRule="auto"/>
        <w:ind w:left="6654" w:firstLine="426"/>
        <w:jc w:val="right"/>
        <w:rPr>
          <w:b/>
          <w:sz w:val="20"/>
          <w:szCs w:val="23"/>
          <w:lang w:val="ru-RU"/>
        </w:rPr>
      </w:pPr>
    </w:p>
    <w:p w14:paraId="59F60ECA" w14:textId="32E53A97" w:rsidR="0080006A" w:rsidRPr="00D71BF0" w:rsidRDefault="00D71BF0" w:rsidP="00D71BF0">
      <w:pPr>
        <w:pStyle w:val="ac"/>
        <w:widowControl w:val="0"/>
        <w:spacing w:line="312" w:lineRule="auto"/>
        <w:ind w:left="6521" w:hanging="142"/>
        <w:jc w:val="right"/>
        <w:rPr>
          <w:b/>
          <w:sz w:val="23"/>
          <w:szCs w:val="23"/>
          <w:lang w:val="ru-RU"/>
        </w:rPr>
      </w:pPr>
      <w:r w:rsidRPr="00D71BF0">
        <w:rPr>
          <w:b/>
          <w:sz w:val="23"/>
          <w:szCs w:val="23"/>
        </w:rPr>
        <w:t>Product for Corporate Business</w:t>
      </w:r>
    </w:p>
    <w:p w14:paraId="4FA243AF" w14:textId="77777777" w:rsidR="0080006A" w:rsidRPr="007E3924" w:rsidRDefault="0080006A" w:rsidP="0080006A">
      <w:pPr>
        <w:tabs>
          <w:tab w:val="left" w:pos="0"/>
          <w:tab w:val="left" w:pos="284"/>
        </w:tabs>
        <w:ind w:left="360"/>
        <w:jc w:val="center"/>
        <w:rPr>
          <w:b/>
          <w:sz w:val="23"/>
          <w:szCs w:val="23"/>
          <w:lang w:val="ru-RU"/>
        </w:rPr>
      </w:pPr>
    </w:p>
    <w:p w14:paraId="1F0B646C" w14:textId="77777777" w:rsidR="0080006A" w:rsidRPr="007E3924" w:rsidRDefault="0080006A" w:rsidP="0080006A">
      <w:pPr>
        <w:tabs>
          <w:tab w:val="left" w:pos="0"/>
          <w:tab w:val="left" w:pos="284"/>
        </w:tabs>
        <w:ind w:left="360"/>
        <w:jc w:val="center"/>
        <w:rPr>
          <w:b/>
          <w:sz w:val="23"/>
          <w:szCs w:val="23"/>
          <w:lang w:val="ru-RU"/>
        </w:rPr>
      </w:pPr>
    </w:p>
    <w:p w14:paraId="247044D9" w14:textId="77777777" w:rsidR="0080006A" w:rsidRPr="00F748AF" w:rsidRDefault="0080006A" w:rsidP="0080006A">
      <w:pPr>
        <w:tabs>
          <w:tab w:val="left" w:pos="9780"/>
        </w:tabs>
        <w:rPr>
          <w:b/>
          <w:bCs/>
          <w:sz w:val="26"/>
          <w:szCs w:val="26"/>
          <w:lang w:val="uz-Cyrl-UZ"/>
        </w:rPr>
      </w:pPr>
    </w:p>
    <w:tbl>
      <w:tblPr>
        <w:tblStyle w:val="ae"/>
        <w:tblW w:w="10349" w:type="dxa"/>
        <w:tblInd w:w="-856" w:type="dxa"/>
        <w:tblLayout w:type="fixed"/>
        <w:tblLook w:val="04A0" w:firstRow="1" w:lastRow="0" w:firstColumn="1" w:lastColumn="0" w:noHBand="0" w:noVBand="1"/>
      </w:tblPr>
      <w:tblGrid>
        <w:gridCol w:w="3544"/>
        <w:gridCol w:w="6805"/>
      </w:tblGrid>
      <w:tr w:rsidR="0080006A" w:rsidRPr="003538C2" w14:paraId="1B2A68A1" w14:textId="77777777" w:rsidTr="001F2906">
        <w:trPr>
          <w:trHeight w:val="351"/>
        </w:trPr>
        <w:tc>
          <w:tcPr>
            <w:tcW w:w="3544" w:type="dxa"/>
            <w:vAlign w:val="center"/>
          </w:tcPr>
          <w:p w14:paraId="020E0F74" w14:textId="77777777" w:rsidR="0080006A" w:rsidRPr="00DE0A41" w:rsidRDefault="0080006A" w:rsidP="001F2906">
            <w:pPr>
              <w:rPr>
                <w:sz w:val="23"/>
                <w:szCs w:val="23"/>
              </w:rPr>
            </w:pPr>
            <w:r>
              <w:rPr>
                <w:sz w:val="23"/>
                <w:szCs w:val="23"/>
                <w:lang w:val="ru-RU"/>
              </w:rPr>
              <w:t xml:space="preserve">Type </w:t>
            </w:r>
            <w:r>
              <w:rPr>
                <w:sz w:val="23"/>
                <w:szCs w:val="23"/>
                <w:lang w:val="uz-Cyrl-UZ"/>
              </w:rPr>
              <w:t>of deposit</w:t>
            </w:r>
          </w:p>
        </w:tc>
        <w:tc>
          <w:tcPr>
            <w:tcW w:w="6805" w:type="dxa"/>
            <w:vAlign w:val="center"/>
          </w:tcPr>
          <w:p w14:paraId="707387B7" w14:textId="37D0F181" w:rsidR="0080006A" w:rsidRPr="00651163" w:rsidRDefault="005D1378" w:rsidP="001F2906">
            <w:pPr>
              <w:jc w:val="both"/>
              <w:rPr>
                <w:sz w:val="23"/>
                <w:szCs w:val="23"/>
                <w:lang w:val="en-US"/>
              </w:rPr>
            </w:pPr>
            <w:r>
              <w:rPr>
                <w:sz w:val="23"/>
                <w:szCs w:val="23"/>
                <w:lang w:val="en-US"/>
              </w:rPr>
              <w:t>Term</w:t>
            </w:r>
            <w:r w:rsidR="0080006A">
              <w:rPr>
                <w:sz w:val="23"/>
                <w:szCs w:val="23"/>
              </w:rPr>
              <w:t xml:space="preserve"> deposit </w:t>
            </w:r>
            <w:r w:rsidR="00651163">
              <w:rPr>
                <w:sz w:val="23"/>
                <w:szCs w:val="23"/>
              </w:rPr>
              <w:t>“</w:t>
            </w:r>
            <w:r w:rsidR="0080006A">
              <w:rPr>
                <w:sz w:val="23"/>
                <w:szCs w:val="23"/>
                <w:lang w:val="ru-RU"/>
              </w:rPr>
              <w:t>Premium</w:t>
            </w:r>
            <w:r w:rsidR="00651163">
              <w:rPr>
                <w:sz w:val="23"/>
                <w:szCs w:val="23"/>
                <w:lang w:val="en-US"/>
              </w:rPr>
              <w:t>”</w:t>
            </w:r>
          </w:p>
        </w:tc>
      </w:tr>
      <w:tr w:rsidR="0080006A" w:rsidRPr="006E522A" w14:paraId="7A8BB795" w14:textId="77777777" w:rsidTr="001F2906">
        <w:tc>
          <w:tcPr>
            <w:tcW w:w="3544" w:type="dxa"/>
            <w:vAlign w:val="center"/>
          </w:tcPr>
          <w:p w14:paraId="44FC9752" w14:textId="77777777" w:rsidR="0080006A" w:rsidRPr="00DE0A41" w:rsidRDefault="0080006A" w:rsidP="001F2906">
            <w:pPr>
              <w:rPr>
                <w:sz w:val="23"/>
                <w:szCs w:val="23"/>
                <w:lang w:val="en-US"/>
              </w:rPr>
            </w:pPr>
            <w:r>
              <w:rPr>
                <w:sz w:val="23"/>
                <w:szCs w:val="23"/>
                <w:lang w:val="uz-Cyrl-UZ"/>
              </w:rPr>
              <w:t>Design object</w:t>
            </w:r>
          </w:p>
        </w:tc>
        <w:tc>
          <w:tcPr>
            <w:tcW w:w="6805" w:type="dxa"/>
            <w:vAlign w:val="center"/>
          </w:tcPr>
          <w:p w14:paraId="2945EC6C" w14:textId="77777777" w:rsidR="0080006A" w:rsidRPr="00DE0A41" w:rsidRDefault="0080006A" w:rsidP="001F2906">
            <w:pPr>
              <w:jc w:val="both"/>
              <w:rPr>
                <w:sz w:val="23"/>
                <w:szCs w:val="23"/>
                <w:lang w:val="uz-Cyrl-UZ"/>
              </w:rPr>
            </w:pPr>
            <w:r>
              <w:rPr>
                <w:sz w:val="23"/>
                <w:szCs w:val="23"/>
                <w:lang w:val="uz-Cyrl-UZ"/>
              </w:rPr>
              <w:t>Funds are accepted from a current/secondary account</w:t>
            </w:r>
          </w:p>
        </w:tc>
      </w:tr>
      <w:tr w:rsidR="0080006A" w:rsidRPr="003538C2" w14:paraId="6DE54836" w14:textId="77777777" w:rsidTr="001F2906">
        <w:tc>
          <w:tcPr>
            <w:tcW w:w="3544" w:type="dxa"/>
            <w:vAlign w:val="center"/>
          </w:tcPr>
          <w:p w14:paraId="5D0ED2DA" w14:textId="77777777" w:rsidR="0080006A" w:rsidRPr="00DE0A41" w:rsidRDefault="0080006A" w:rsidP="001F2906">
            <w:pPr>
              <w:rPr>
                <w:sz w:val="23"/>
                <w:szCs w:val="23"/>
                <w:lang w:val="uz-Cyrl-UZ"/>
              </w:rPr>
            </w:pPr>
            <w:r>
              <w:rPr>
                <w:sz w:val="23"/>
                <w:szCs w:val="23"/>
                <w:lang w:val="uz-Cyrl-UZ"/>
              </w:rPr>
              <w:t>Deposit currency</w:t>
            </w:r>
          </w:p>
        </w:tc>
        <w:tc>
          <w:tcPr>
            <w:tcW w:w="6805" w:type="dxa"/>
            <w:vAlign w:val="center"/>
          </w:tcPr>
          <w:p w14:paraId="1CBBDBA0" w14:textId="05633BE7" w:rsidR="0080006A" w:rsidRPr="00DE0A41" w:rsidRDefault="0080006A" w:rsidP="001F2906">
            <w:pPr>
              <w:rPr>
                <w:sz w:val="23"/>
                <w:szCs w:val="23"/>
                <w:lang w:val="uz-Cyrl-UZ"/>
              </w:rPr>
            </w:pPr>
            <w:r>
              <w:rPr>
                <w:sz w:val="23"/>
                <w:szCs w:val="23"/>
                <w:lang w:val="uz-Cyrl-UZ"/>
              </w:rPr>
              <w:t>In national and foreign currency</w:t>
            </w:r>
          </w:p>
        </w:tc>
      </w:tr>
      <w:tr w:rsidR="0080006A" w:rsidRPr="00C86421" w14:paraId="3D2529E8" w14:textId="77777777" w:rsidTr="001F2906">
        <w:tc>
          <w:tcPr>
            <w:tcW w:w="3544" w:type="dxa"/>
            <w:vAlign w:val="center"/>
          </w:tcPr>
          <w:p w14:paraId="10103D93" w14:textId="61E40A70" w:rsidR="0080006A" w:rsidRPr="001A3224" w:rsidRDefault="0080006A" w:rsidP="001F2906">
            <w:pPr>
              <w:rPr>
                <w:sz w:val="23"/>
                <w:szCs w:val="23"/>
                <w:lang w:val="en-US"/>
              </w:rPr>
            </w:pPr>
            <w:r w:rsidRPr="001A3224">
              <w:rPr>
                <w:sz w:val="23"/>
                <w:szCs w:val="23"/>
                <w:lang w:val="uz-Cyrl-UZ"/>
              </w:rPr>
              <w:t xml:space="preserve">Deposit </w:t>
            </w:r>
            <w:r w:rsidR="00D93171" w:rsidRPr="001A3224">
              <w:rPr>
                <w:sz w:val="23"/>
                <w:szCs w:val="23"/>
                <w:lang w:val="en-US"/>
              </w:rPr>
              <w:t>tenor</w:t>
            </w:r>
          </w:p>
        </w:tc>
        <w:tc>
          <w:tcPr>
            <w:tcW w:w="6805" w:type="dxa"/>
            <w:vAlign w:val="center"/>
          </w:tcPr>
          <w:p w14:paraId="5A16F0EA" w14:textId="45120F47" w:rsidR="0080006A" w:rsidRPr="001A3224" w:rsidRDefault="00E318F9" w:rsidP="001F2906">
            <w:pPr>
              <w:rPr>
                <w:sz w:val="23"/>
                <w:szCs w:val="23"/>
                <w:lang w:val="uz-Cyrl-UZ"/>
              </w:rPr>
            </w:pPr>
            <w:r w:rsidRPr="001A3224">
              <w:rPr>
                <w:sz w:val="23"/>
                <w:szCs w:val="23"/>
                <w:lang w:val="uz-Cyrl-UZ"/>
              </w:rPr>
              <w:t>By agreement of the parties</w:t>
            </w:r>
          </w:p>
        </w:tc>
      </w:tr>
      <w:tr w:rsidR="0080006A" w:rsidRPr="003538C2" w14:paraId="68A64298" w14:textId="77777777" w:rsidTr="001F2906">
        <w:tc>
          <w:tcPr>
            <w:tcW w:w="3544" w:type="dxa"/>
            <w:vAlign w:val="center"/>
          </w:tcPr>
          <w:p w14:paraId="55C58E82" w14:textId="77777777" w:rsidR="0080006A" w:rsidRPr="001A3224" w:rsidRDefault="0080006A" w:rsidP="001F2906">
            <w:pPr>
              <w:rPr>
                <w:sz w:val="23"/>
                <w:szCs w:val="23"/>
                <w:lang w:val="en-US"/>
              </w:rPr>
            </w:pPr>
            <w:r w:rsidRPr="001A3224">
              <w:rPr>
                <w:sz w:val="23"/>
                <w:szCs w:val="23"/>
                <w:lang w:val="uz-Cyrl-UZ"/>
              </w:rPr>
              <w:t>Minimum deposit amount</w:t>
            </w:r>
          </w:p>
        </w:tc>
        <w:tc>
          <w:tcPr>
            <w:tcW w:w="6805" w:type="dxa"/>
            <w:vAlign w:val="center"/>
          </w:tcPr>
          <w:p w14:paraId="16F8FA47" w14:textId="1755CBB2" w:rsidR="0080006A" w:rsidRPr="001A3224" w:rsidRDefault="00C6081F" w:rsidP="001F2906">
            <w:pPr>
              <w:rPr>
                <w:sz w:val="23"/>
                <w:szCs w:val="23"/>
                <w:lang w:val="uz-Cyrl-UZ"/>
              </w:rPr>
            </w:pPr>
            <w:proofErr w:type="spellStart"/>
            <w:r w:rsidRPr="001A3224">
              <w:rPr>
                <w:sz w:val="23"/>
                <w:szCs w:val="23"/>
                <w:lang w:val="ru-RU"/>
              </w:rPr>
              <w:t>Unlimited</w:t>
            </w:r>
            <w:proofErr w:type="spellEnd"/>
            <w:r w:rsidR="005B6F99" w:rsidRPr="001A3224">
              <w:rPr>
                <w:sz w:val="23"/>
                <w:szCs w:val="23"/>
                <w:lang w:val="uz-Cyrl-UZ"/>
              </w:rPr>
              <w:t xml:space="preserve"> </w:t>
            </w:r>
          </w:p>
        </w:tc>
      </w:tr>
      <w:tr w:rsidR="0080006A" w:rsidRPr="003538C2" w14:paraId="4C4AD67B" w14:textId="77777777" w:rsidTr="001F2906">
        <w:tc>
          <w:tcPr>
            <w:tcW w:w="3544" w:type="dxa"/>
            <w:vAlign w:val="center"/>
          </w:tcPr>
          <w:p w14:paraId="4D55A207" w14:textId="77777777" w:rsidR="0080006A" w:rsidRPr="001A3224" w:rsidRDefault="0080006A" w:rsidP="001F2906">
            <w:pPr>
              <w:rPr>
                <w:sz w:val="23"/>
                <w:szCs w:val="23"/>
                <w:lang w:val="uz-Cyrl-UZ"/>
              </w:rPr>
            </w:pPr>
            <w:r w:rsidRPr="001A3224">
              <w:rPr>
                <w:sz w:val="23"/>
                <w:szCs w:val="23"/>
                <w:lang w:val="uz-Cyrl-UZ"/>
              </w:rPr>
              <w:t>Maximum deposit amount</w:t>
            </w:r>
          </w:p>
        </w:tc>
        <w:tc>
          <w:tcPr>
            <w:tcW w:w="6805" w:type="dxa"/>
            <w:vAlign w:val="center"/>
          </w:tcPr>
          <w:p w14:paraId="6935B417" w14:textId="77777777" w:rsidR="0080006A" w:rsidRPr="001A3224" w:rsidRDefault="0080006A" w:rsidP="001F2906">
            <w:pPr>
              <w:rPr>
                <w:sz w:val="23"/>
                <w:szCs w:val="23"/>
                <w:lang w:val="ru-RU"/>
              </w:rPr>
            </w:pPr>
            <w:r w:rsidRPr="001A3224">
              <w:rPr>
                <w:sz w:val="23"/>
                <w:szCs w:val="23"/>
                <w:lang w:val="uz-Cyrl-UZ"/>
              </w:rPr>
              <w:t>Unlimited</w:t>
            </w:r>
          </w:p>
        </w:tc>
      </w:tr>
      <w:tr w:rsidR="0080006A" w:rsidRPr="003538C2" w14:paraId="4CF2D5F3" w14:textId="77777777" w:rsidTr="001F2906">
        <w:tc>
          <w:tcPr>
            <w:tcW w:w="3544" w:type="dxa"/>
            <w:vAlign w:val="center"/>
          </w:tcPr>
          <w:p w14:paraId="00802B27" w14:textId="77777777" w:rsidR="0080006A" w:rsidRPr="001A3224" w:rsidRDefault="0080006A" w:rsidP="001F2906">
            <w:pPr>
              <w:rPr>
                <w:sz w:val="23"/>
                <w:szCs w:val="23"/>
                <w:lang w:val="uz-Cyrl-UZ"/>
              </w:rPr>
            </w:pPr>
            <w:r w:rsidRPr="001A3224">
              <w:rPr>
                <w:sz w:val="23"/>
                <w:szCs w:val="23"/>
                <w:lang w:val="uz-Cyrl-UZ"/>
              </w:rPr>
              <w:t>Annual percentage rate (contractual interest rate)</w:t>
            </w:r>
          </w:p>
        </w:tc>
        <w:tc>
          <w:tcPr>
            <w:tcW w:w="6805" w:type="dxa"/>
            <w:vAlign w:val="center"/>
          </w:tcPr>
          <w:p w14:paraId="5004385B" w14:textId="01719960" w:rsidR="0080006A" w:rsidRPr="001A3224" w:rsidRDefault="001A3224" w:rsidP="001F2906">
            <w:pPr>
              <w:rPr>
                <w:sz w:val="23"/>
                <w:szCs w:val="23"/>
                <w:lang w:val="uz-Cyrl-UZ"/>
              </w:rPr>
            </w:pPr>
            <w:r w:rsidRPr="001A3224">
              <w:rPr>
                <w:sz w:val="23"/>
                <w:szCs w:val="23"/>
                <w:lang w:val="uz-Cyrl-UZ"/>
              </w:rPr>
              <w:t>Determined individually in accordance with the bank’s internal rules.</w:t>
            </w:r>
          </w:p>
        </w:tc>
      </w:tr>
      <w:tr w:rsidR="00A2415A" w:rsidRPr="00A2415A" w14:paraId="6512C033" w14:textId="77777777" w:rsidTr="00535C06">
        <w:tc>
          <w:tcPr>
            <w:tcW w:w="3544" w:type="dxa"/>
          </w:tcPr>
          <w:p w14:paraId="1B0696E2" w14:textId="71AAD8E7" w:rsidR="00A2415A" w:rsidRPr="001A3224" w:rsidRDefault="00A2415A" w:rsidP="00A2415A">
            <w:pPr>
              <w:rPr>
                <w:sz w:val="23"/>
                <w:szCs w:val="23"/>
                <w:lang w:val="uz-Cyrl-UZ"/>
              </w:rPr>
            </w:pPr>
            <w:r w:rsidRPr="001A3224">
              <w:t>The procedure for calculating interest</w:t>
            </w:r>
          </w:p>
        </w:tc>
        <w:tc>
          <w:tcPr>
            <w:tcW w:w="6805" w:type="dxa"/>
          </w:tcPr>
          <w:p w14:paraId="66D71A24" w14:textId="54366422" w:rsidR="00A2415A" w:rsidRPr="001A3224" w:rsidRDefault="00A2415A" w:rsidP="00A2415A">
            <w:pPr>
              <w:jc w:val="both"/>
              <w:rPr>
                <w:sz w:val="23"/>
                <w:szCs w:val="23"/>
                <w:lang w:val="uz-Cyrl-UZ"/>
              </w:rPr>
            </w:pPr>
            <w:r w:rsidRPr="001A3224">
              <w:t>Interest on the amount of a bank deposit is accrued from the next day of receipt of the deposit by the bank until the day preceding its return to the depositor or withdrawal from the depositor's account for other reasons (Civil Code of the Republic of Uzbekistan, Article 764)</w:t>
            </w:r>
          </w:p>
        </w:tc>
      </w:tr>
      <w:tr w:rsidR="00A2415A" w:rsidRPr="006E522A" w14:paraId="6043318D" w14:textId="77777777" w:rsidTr="00535C06">
        <w:trPr>
          <w:trHeight w:val="70"/>
        </w:trPr>
        <w:tc>
          <w:tcPr>
            <w:tcW w:w="3544" w:type="dxa"/>
          </w:tcPr>
          <w:p w14:paraId="1B645EAA" w14:textId="10D2EA09" w:rsidR="00A2415A" w:rsidRPr="001A3224" w:rsidRDefault="00A2415A" w:rsidP="00A2415A">
            <w:pPr>
              <w:rPr>
                <w:sz w:val="23"/>
                <w:szCs w:val="23"/>
                <w:lang w:val="uz-Cyrl-UZ"/>
              </w:rPr>
            </w:pPr>
            <w:r w:rsidRPr="001A3224">
              <w:t>Payment of interest income</w:t>
            </w:r>
          </w:p>
        </w:tc>
        <w:tc>
          <w:tcPr>
            <w:tcW w:w="6805" w:type="dxa"/>
          </w:tcPr>
          <w:p w14:paraId="74905614" w14:textId="3B830A96" w:rsidR="00A2415A" w:rsidRPr="001A3224" w:rsidRDefault="00A2415A" w:rsidP="00A2415A">
            <w:pPr>
              <w:jc w:val="both"/>
              <w:rPr>
                <w:sz w:val="23"/>
                <w:szCs w:val="23"/>
                <w:lang w:val="uz-Cyrl-UZ"/>
              </w:rPr>
            </w:pPr>
            <w:r w:rsidRPr="001A3224">
              <w:t xml:space="preserve">Accrual is calculated automatically every </w:t>
            </w:r>
            <w:proofErr w:type="gramStart"/>
            <w:r w:rsidRPr="001A3224">
              <w:t>day,</w:t>
            </w:r>
            <w:proofErr w:type="gramEnd"/>
            <w:r w:rsidRPr="001A3224">
              <w:t xml:space="preserve"> payment is made on the first day of the next month</w:t>
            </w:r>
          </w:p>
        </w:tc>
      </w:tr>
      <w:tr w:rsidR="00A2415A" w:rsidRPr="003538C2" w14:paraId="7D055EB3" w14:textId="77777777" w:rsidTr="00535C06">
        <w:trPr>
          <w:trHeight w:val="70"/>
        </w:trPr>
        <w:tc>
          <w:tcPr>
            <w:tcW w:w="3544" w:type="dxa"/>
          </w:tcPr>
          <w:p w14:paraId="0CD0EAD5" w14:textId="08A0D8F7" w:rsidR="00A2415A" w:rsidRPr="001A3224" w:rsidRDefault="00A2415A" w:rsidP="00A2415A">
            <w:pPr>
              <w:rPr>
                <w:sz w:val="23"/>
                <w:szCs w:val="23"/>
                <w:lang w:val="uz-Cyrl-UZ"/>
              </w:rPr>
            </w:pPr>
            <w:r w:rsidRPr="001A3224">
              <w:t>Capitalization</w:t>
            </w:r>
          </w:p>
        </w:tc>
        <w:tc>
          <w:tcPr>
            <w:tcW w:w="6805" w:type="dxa"/>
          </w:tcPr>
          <w:p w14:paraId="45CDA37A" w14:textId="79F956B3" w:rsidR="00A2415A" w:rsidRPr="001A3224" w:rsidRDefault="00A2415A" w:rsidP="00A2415A">
            <w:pPr>
              <w:jc w:val="both"/>
              <w:rPr>
                <w:sz w:val="23"/>
                <w:szCs w:val="23"/>
                <w:lang w:val="uz-Cyrl-UZ"/>
              </w:rPr>
            </w:pPr>
            <w:r w:rsidRPr="001A3224">
              <w:t>No</w:t>
            </w:r>
          </w:p>
        </w:tc>
      </w:tr>
      <w:tr w:rsidR="00A2415A" w:rsidRPr="006E522A" w14:paraId="7936F309" w14:textId="77777777" w:rsidTr="00535C06">
        <w:tc>
          <w:tcPr>
            <w:tcW w:w="3544" w:type="dxa"/>
          </w:tcPr>
          <w:p w14:paraId="520F01FF" w14:textId="0CAAE370" w:rsidR="00A2415A" w:rsidRPr="001A3224" w:rsidRDefault="00A2415A" w:rsidP="00A2415A">
            <w:pPr>
              <w:rPr>
                <w:sz w:val="23"/>
                <w:szCs w:val="23"/>
                <w:lang w:val="uz-Cyrl-UZ"/>
              </w:rPr>
            </w:pPr>
            <w:r w:rsidRPr="001A3224">
              <w:t>Early return of deposit or partial withdrawal</w:t>
            </w:r>
          </w:p>
        </w:tc>
        <w:tc>
          <w:tcPr>
            <w:tcW w:w="6805" w:type="dxa"/>
          </w:tcPr>
          <w:p w14:paraId="54AFD97A" w14:textId="07004295" w:rsidR="00A2415A" w:rsidRPr="001A3224" w:rsidRDefault="001A3224" w:rsidP="00A2415A">
            <w:pPr>
              <w:jc w:val="both"/>
              <w:rPr>
                <w:sz w:val="23"/>
                <w:szCs w:val="23"/>
                <w:lang w:val="en-US"/>
              </w:rPr>
            </w:pPr>
            <w:r w:rsidRPr="001A3224">
              <w:t>Determined individually in accordance with the bank’s internal rules.</w:t>
            </w:r>
          </w:p>
        </w:tc>
      </w:tr>
      <w:tr w:rsidR="00A2415A" w:rsidRPr="006E522A" w14:paraId="12C0BC1F" w14:textId="77777777" w:rsidTr="00535C06">
        <w:tc>
          <w:tcPr>
            <w:tcW w:w="3544" w:type="dxa"/>
          </w:tcPr>
          <w:p w14:paraId="4C1698AE" w14:textId="4BCF5CA1" w:rsidR="00A2415A" w:rsidRPr="001A3224" w:rsidRDefault="00A2415A" w:rsidP="00A2415A">
            <w:pPr>
              <w:rPr>
                <w:sz w:val="23"/>
                <w:szCs w:val="23"/>
                <w:lang w:val="uz-Cyrl-UZ"/>
              </w:rPr>
            </w:pPr>
            <w:r w:rsidRPr="001A3224">
              <w:t>Deposit refund at the end of the term</w:t>
            </w:r>
          </w:p>
        </w:tc>
        <w:tc>
          <w:tcPr>
            <w:tcW w:w="6805" w:type="dxa"/>
            <w:vAlign w:val="center"/>
          </w:tcPr>
          <w:p w14:paraId="19EC2128" w14:textId="2D919122" w:rsidR="00A2415A" w:rsidRPr="001A3224" w:rsidRDefault="00A2415A" w:rsidP="00A2415A">
            <w:pPr>
              <w:jc w:val="both"/>
              <w:rPr>
                <w:sz w:val="23"/>
                <w:szCs w:val="23"/>
                <w:lang w:val="uz-Cyrl-UZ"/>
              </w:rPr>
            </w:pPr>
            <w:r w:rsidRPr="001A3224">
              <w:rPr>
                <w:sz w:val="23"/>
                <w:szCs w:val="23"/>
                <w:lang w:val="uz-Cyrl-UZ"/>
              </w:rPr>
              <w:t xml:space="preserve">The deposited funds are credited to the account until they are requested after the </w:t>
            </w:r>
            <w:r w:rsidR="00D93171" w:rsidRPr="001A3224">
              <w:rPr>
                <w:sz w:val="23"/>
                <w:szCs w:val="23"/>
                <w:lang w:val="en-US"/>
              </w:rPr>
              <w:t xml:space="preserve">tenor </w:t>
            </w:r>
            <w:r w:rsidRPr="001A3224">
              <w:rPr>
                <w:sz w:val="23"/>
                <w:szCs w:val="23"/>
                <w:lang w:val="uz-Cyrl-UZ"/>
              </w:rPr>
              <w:t>has expired (minus the amount of tax established by law for budgetary organizations).</w:t>
            </w:r>
          </w:p>
        </w:tc>
      </w:tr>
      <w:tr w:rsidR="0080006A" w:rsidRPr="003538C2" w14:paraId="547B0A1F" w14:textId="77777777" w:rsidTr="001F2906">
        <w:trPr>
          <w:trHeight w:val="561"/>
        </w:trPr>
        <w:tc>
          <w:tcPr>
            <w:tcW w:w="3544" w:type="dxa"/>
            <w:vAlign w:val="center"/>
          </w:tcPr>
          <w:p w14:paraId="06FDBAC5" w14:textId="77777777" w:rsidR="0080006A" w:rsidRPr="00DE0A41" w:rsidRDefault="0080006A" w:rsidP="001F2906">
            <w:pPr>
              <w:rPr>
                <w:sz w:val="23"/>
                <w:szCs w:val="23"/>
                <w:lang w:val="uz-Cyrl-UZ"/>
              </w:rPr>
            </w:pPr>
            <w:r>
              <w:rPr>
                <w:sz w:val="23"/>
                <w:szCs w:val="23"/>
                <w:lang w:val="uz-Cyrl-UZ"/>
              </w:rPr>
              <w:t>Registration procedure</w:t>
            </w:r>
          </w:p>
        </w:tc>
        <w:tc>
          <w:tcPr>
            <w:tcW w:w="6805" w:type="dxa"/>
            <w:vAlign w:val="center"/>
          </w:tcPr>
          <w:p w14:paraId="4EF2D24F" w14:textId="590E7ECE" w:rsidR="0080006A" w:rsidRPr="0018594F" w:rsidRDefault="0080006A" w:rsidP="001F2906">
            <w:pPr>
              <w:jc w:val="both"/>
              <w:rPr>
                <w:sz w:val="23"/>
                <w:szCs w:val="23"/>
                <w:lang w:val="uz-Cyrl-UZ"/>
              </w:rPr>
            </w:pPr>
            <w:r w:rsidRPr="00FB1FCF">
              <w:rPr>
                <w:sz w:val="23"/>
                <w:szCs w:val="23"/>
                <w:lang w:val="uz-Cyrl-UZ"/>
              </w:rPr>
              <w:t>By concluding a Deposit Agreement</w:t>
            </w:r>
          </w:p>
        </w:tc>
      </w:tr>
      <w:tr w:rsidR="0053523A" w:rsidRPr="003538C2" w14:paraId="7FF4DD5D" w14:textId="77777777" w:rsidTr="001F2906">
        <w:trPr>
          <w:trHeight w:val="561"/>
        </w:trPr>
        <w:tc>
          <w:tcPr>
            <w:tcW w:w="3544" w:type="dxa"/>
            <w:vAlign w:val="center"/>
          </w:tcPr>
          <w:p w14:paraId="64B2DEC4" w14:textId="56FC7D98" w:rsidR="0053523A" w:rsidRDefault="0053523A" w:rsidP="001F2906">
            <w:pPr>
              <w:rPr>
                <w:sz w:val="23"/>
                <w:szCs w:val="23"/>
                <w:lang w:val="uz-Cyrl-UZ"/>
              </w:rPr>
            </w:pPr>
            <w:r>
              <w:rPr>
                <w:sz w:val="23"/>
                <w:szCs w:val="23"/>
                <w:lang w:val="uz-Cyrl-UZ"/>
              </w:rPr>
              <w:t>Minimum deposit balance</w:t>
            </w:r>
          </w:p>
        </w:tc>
        <w:tc>
          <w:tcPr>
            <w:tcW w:w="6805" w:type="dxa"/>
            <w:vAlign w:val="center"/>
          </w:tcPr>
          <w:p w14:paraId="3D18EACF" w14:textId="39FFB06A" w:rsidR="0053523A" w:rsidRPr="00FB1FCF" w:rsidRDefault="00A2415A" w:rsidP="001F2906">
            <w:pPr>
              <w:jc w:val="both"/>
              <w:rPr>
                <w:sz w:val="23"/>
                <w:szCs w:val="23"/>
                <w:lang w:val="uz-Cyrl-UZ"/>
              </w:rPr>
            </w:pPr>
            <w:r w:rsidRPr="00A2415A">
              <w:rPr>
                <w:sz w:val="23"/>
                <w:szCs w:val="23"/>
                <w:lang w:val="uz-Cyrl-UZ"/>
              </w:rPr>
              <w:t>10% of the deposit amount (does not apply to cases of full early return)</w:t>
            </w:r>
          </w:p>
        </w:tc>
      </w:tr>
      <w:tr w:rsidR="0080006A" w:rsidRPr="006E522A" w14:paraId="360F1A79" w14:textId="77777777" w:rsidTr="001F2906">
        <w:tc>
          <w:tcPr>
            <w:tcW w:w="3544" w:type="dxa"/>
            <w:vAlign w:val="center"/>
          </w:tcPr>
          <w:p w14:paraId="0F4036E8" w14:textId="77777777" w:rsidR="0080006A" w:rsidRPr="00DE0A41" w:rsidRDefault="0080006A" w:rsidP="001F2906">
            <w:pPr>
              <w:rPr>
                <w:sz w:val="23"/>
                <w:szCs w:val="23"/>
                <w:lang w:val="uz-Cyrl-UZ"/>
              </w:rPr>
            </w:pPr>
            <w:r>
              <w:rPr>
                <w:sz w:val="23"/>
                <w:szCs w:val="23"/>
                <w:lang w:val="uz-Cyrl-UZ"/>
              </w:rPr>
              <w:t>Clients</w:t>
            </w:r>
          </w:p>
        </w:tc>
        <w:tc>
          <w:tcPr>
            <w:tcW w:w="6805" w:type="dxa"/>
          </w:tcPr>
          <w:p w14:paraId="2D872E7C" w14:textId="4CC854E6" w:rsidR="0080006A" w:rsidRPr="00FB1FCF" w:rsidRDefault="00D71BF0" w:rsidP="001F2906">
            <w:pPr>
              <w:pStyle w:val="a7"/>
              <w:ind w:left="0"/>
              <w:jc w:val="both"/>
              <w:rPr>
                <w:rFonts w:ascii="Times New Roman" w:eastAsia="Times New Roman" w:hAnsi="Times New Roman" w:cs="Times New Roman"/>
                <w:kern w:val="0"/>
                <w:sz w:val="23"/>
                <w:szCs w:val="23"/>
                <w:lang w:val="uz-Cyrl-UZ" w:eastAsia="ru-RU"/>
                <w14:ligatures w14:val="none"/>
              </w:rPr>
            </w:pPr>
            <w:r>
              <w:rPr>
                <w:rFonts w:ascii="Times New Roman" w:eastAsia="Times New Roman" w:hAnsi="Times New Roman" w:cs="Times New Roman"/>
                <w:kern w:val="0"/>
                <w:sz w:val="23"/>
                <w:szCs w:val="23"/>
                <w:lang w:val="en-US" w:eastAsia="ru-RU"/>
                <w14:ligatures w14:val="none"/>
              </w:rPr>
              <w:t>Corporate c</w:t>
            </w:r>
            <w:r w:rsidR="0080006A" w:rsidRPr="00FB1FCF">
              <w:rPr>
                <w:rFonts w:ascii="Times New Roman" w:eastAsia="Times New Roman" w:hAnsi="Times New Roman" w:cs="Times New Roman"/>
                <w:kern w:val="0"/>
                <w:sz w:val="23"/>
                <w:szCs w:val="23"/>
                <w:lang w:val="uz-Cyrl-UZ" w:eastAsia="ru-RU"/>
                <w14:ligatures w14:val="none"/>
              </w:rPr>
              <w:t>lients of JSC</w:t>
            </w:r>
            <w:r w:rsidR="00771F2E">
              <w:rPr>
                <w:rFonts w:ascii="Times New Roman" w:eastAsia="Times New Roman" w:hAnsi="Times New Roman" w:cs="Times New Roman"/>
                <w:kern w:val="0"/>
                <w:sz w:val="23"/>
                <w:szCs w:val="23"/>
                <w:lang w:val="en-US" w:eastAsia="ru-RU"/>
                <w14:ligatures w14:val="none"/>
              </w:rPr>
              <w:t>M</w:t>
            </w:r>
            <w:r w:rsidR="0080006A" w:rsidRPr="00FB1FCF">
              <w:rPr>
                <w:rFonts w:ascii="Times New Roman" w:eastAsia="Times New Roman" w:hAnsi="Times New Roman" w:cs="Times New Roman"/>
                <w:kern w:val="0"/>
                <w:sz w:val="23"/>
                <w:szCs w:val="23"/>
                <w:lang w:val="uz-Cyrl-UZ" w:eastAsia="ru-RU"/>
                <w14:ligatures w14:val="none"/>
              </w:rPr>
              <w:t>B "Ipoteka-bank" and other banks</w:t>
            </w:r>
            <w:r w:rsidR="001A3224">
              <w:rPr>
                <w:rFonts w:ascii="Times New Roman" w:eastAsia="Times New Roman" w:hAnsi="Times New Roman" w:cs="Times New Roman"/>
                <w:kern w:val="0"/>
                <w:sz w:val="23"/>
                <w:szCs w:val="23"/>
                <w:lang w:val="uz-Cyrl-UZ" w:eastAsia="ru-RU"/>
                <w14:ligatures w14:val="none"/>
              </w:rPr>
              <w:t xml:space="preserve"> </w:t>
            </w:r>
            <w:r w:rsidR="001A3224">
              <w:rPr>
                <w:rFonts w:ascii="Times New Roman" w:eastAsia="Times New Roman" w:hAnsi="Times New Roman" w:cs="Times New Roman"/>
                <w:kern w:val="0"/>
                <w:sz w:val="23"/>
                <w:szCs w:val="23"/>
                <w:lang w:val="en-US" w:eastAsia="ru-RU"/>
                <w14:ligatures w14:val="none"/>
              </w:rPr>
              <w:t>c</w:t>
            </w:r>
            <w:r w:rsidR="001A3224" w:rsidRPr="00FB1FCF">
              <w:rPr>
                <w:rFonts w:ascii="Times New Roman" w:eastAsia="Times New Roman" w:hAnsi="Times New Roman" w:cs="Times New Roman"/>
                <w:kern w:val="0"/>
                <w:sz w:val="23"/>
                <w:szCs w:val="23"/>
                <w:lang w:val="uz-Cyrl-UZ" w:eastAsia="ru-RU"/>
                <w14:ligatures w14:val="none"/>
              </w:rPr>
              <w:t>lients</w:t>
            </w:r>
          </w:p>
        </w:tc>
      </w:tr>
    </w:tbl>
    <w:p w14:paraId="6A5BDF3C" w14:textId="77777777" w:rsidR="0080006A" w:rsidRPr="00651163" w:rsidRDefault="0080006A" w:rsidP="0080006A">
      <w:pPr>
        <w:pStyle w:val="ac"/>
        <w:widowControl w:val="0"/>
        <w:tabs>
          <w:tab w:val="left" w:pos="8511"/>
        </w:tabs>
        <w:spacing w:before="40" w:after="40" w:line="312" w:lineRule="auto"/>
        <w:ind w:firstLine="0"/>
        <w:rPr>
          <w:b/>
          <w:sz w:val="24"/>
          <w:lang w:val="en-US"/>
        </w:rPr>
      </w:pPr>
    </w:p>
    <w:p w14:paraId="2E180322" w14:textId="6ED6DE2D" w:rsidR="009F5F48" w:rsidRPr="00651163" w:rsidRDefault="009F5F48">
      <w:pPr>
        <w:rPr>
          <w:lang w:val="en-US"/>
        </w:rPr>
      </w:pPr>
    </w:p>
    <w:sectPr w:rsidR="009F5F48" w:rsidRPr="00651163" w:rsidSect="0080006A">
      <w:pgSz w:w="11906" w:h="16838"/>
      <w:pgMar w:top="568" w:right="566"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06A"/>
    <w:rsid w:val="0017482F"/>
    <w:rsid w:val="001A3224"/>
    <w:rsid w:val="002B7FDF"/>
    <w:rsid w:val="00354F2B"/>
    <w:rsid w:val="00405BA5"/>
    <w:rsid w:val="00515E80"/>
    <w:rsid w:val="0053523A"/>
    <w:rsid w:val="0054719C"/>
    <w:rsid w:val="00551D8A"/>
    <w:rsid w:val="005B6F99"/>
    <w:rsid w:val="005D1378"/>
    <w:rsid w:val="00651163"/>
    <w:rsid w:val="00674464"/>
    <w:rsid w:val="0071372E"/>
    <w:rsid w:val="00721221"/>
    <w:rsid w:val="0074353E"/>
    <w:rsid w:val="00771F2E"/>
    <w:rsid w:val="0079308A"/>
    <w:rsid w:val="007E0F1C"/>
    <w:rsid w:val="0080006A"/>
    <w:rsid w:val="008B67B1"/>
    <w:rsid w:val="008E0A5A"/>
    <w:rsid w:val="0096785D"/>
    <w:rsid w:val="00971DE0"/>
    <w:rsid w:val="009D1C8A"/>
    <w:rsid w:val="009F5F48"/>
    <w:rsid w:val="00A2415A"/>
    <w:rsid w:val="00C31C85"/>
    <w:rsid w:val="00C520F5"/>
    <w:rsid w:val="00C6081F"/>
    <w:rsid w:val="00C802C9"/>
    <w:rsid w:val="00CF0F47"/>
    <w:rsid w:val="00CF4354"/>
    <w:rsid w:val="00D06D1F"/>
    <w:rsid w:val="00D30DB1"/>
    <w:rsid w:val="00D36A19"/>
    <w:rsid w:val="00D71BF0"/>
    <w:rsid w:val="00D93171"/>
    <w:rsid w:val="00DE1310"/>
    <w:rsid w:val="00E12A00"/>
    <w:rsid w:val="00E26A75"/>
    <w:rsid w:val="00E318F9"/>
    <w:rsid w:val="00E50AD6"/>
    <w:rsid w:val="00F110DA"/>
    <w:rsid w:val="00F26041"/>
    <w:rsid w:val="00F26FE4"/>
    <w:rsid w:val="00F97DEC"/>
    <w:rsid w:val="00FB1F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BC9D9"/>
  <w15:chartTrackingRefBased/>
  <w15:docId w15:val="{16DBFEC3-B511-4779-BA2F-4B292D155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006A"/>
    <w:pPr>
      <w:spacing w:after="0" w:line="240" w:lineRule="auto"/>
    </w:pPr>
    <w:rPr>
      <w:rFonts w:ascii="Times New Roman" w:eastAsia="Times New Roman" w:hAnsi="Times New Roman" w:cs="Times New Roman"/>
      <w:kern w:val="0"/>
      <w:sz w:val="24"/>
      <w:szCs w:val="24"/>
      <w:lang w:eastAsia="ru-RU"/>
      <w14:ligatures w14:val="none"/>
    </w:rPr>
  </w:style>
  <w:style w:type="paragraph" w:styleId="1">
    <w:name w:val="heading 1"/>
    <w:basedOn w:val="a"/>
    <w:next w:val="a"/>
    <w:link w:val="10"/>
    <w:uiPriority w:val="9"/>
    <w:qFormat/>
    <w:rsid w:val="0080006A"/>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2">
    <w:name w:val="heading 2"/>
    <w:basedOn w:val="a"/>
    <w:next w:val="a"/>
    <w:link w:val="20"/>
    <w:uiPriority w:val="9"/>
    <w:semiHidden/>
    <w:unhideWhenUsed/>
    <w:qFormat/>
    <w:rsid w:val="0080006A"/>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3">
    <w:name w:val="heading 3"/>
    <w:basedOn w:val="a"/>
    <w:next w:val="a"/>
    <w:link w:val="30"/>
    <w:uiPriority w:val="9"/>
    <w:semiHidden/>
    <w:unhideWhenUsed/>
    <w:qFormat/>
    <w:rsid w:val="0080006A"/>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4">
    <w:name w:val="heading 4"/>
    <w:basedOn w:val="a"/>
    <w:next w:val="a"/>
    <w:link w:val="40"/>
    <w:uiPriority w:val="9"/>
    <w:semiHidden/>
    <w:unhideWhenUsed/>
    <w:qFormat/>
    <w:rsid w:val="0080006A"/>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5">
    <w:name w:val="heading 5"/>
    <w:basedOn w:val="a"/>
    <w:next w:val="a"/>
    <w:link w:val="50"/>
    <w:uiPriority w:val="9"/>
    <w:semiHidden/>
    <w:unhideWhenUsed/>
    <w:qFormat/>
    <w:rsid w:val="0080006A"/>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6">
    <w:name w:val="heading 6"/>
    <w:basedOn w:val="a"/>
    <w:next w:val="a"/>
    <w:link w:val="60"/>
    <w:uiPriority w:val="9"/>
    <w:semiHidden/>
    <w:unhideWhenUsed/>
    <w:qFormat/>
    <w:rsid w:val="0080006A"/>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7">
    <w:name w:val="heading 7"/>
    <w:basedOn w:val="a"/>
    <w:next w:val="a"/>
    <w:link w:val="70"/>
    <w:uiPriority w:val="9"/>
    <w:semiHidden/>
    <w:unhideWhenUsed/>
    <w:qFormat/>
    <w:rsid w:val="0080006A"/>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8">
    <w:name w:val="heading 8"/>
    <w:basedOn w:val="a"/>
    <w:next w:val="a"/>
    <w:link w:val="80"/>
    <w:uiPriority w:val="9"/>
    <w:semiHidden/>
    <w:unhideWhenUsed/>
    <w:qFormat/>
    <w:rsid w:val="0080006A"/>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9">
    <w:name w:val="heading 9"/>
    <w:basedOn w:val="a"/>
    <w:next w:val="a"/>
    <w:link w:val="90"/>
    <w:uiPriority w:val="9"/>
    <w:semiHidden/>
    <w:unhideWhenUsed/>
    <w:qFormat/>
    <w:rsid w:val="0080006A"/>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0006A"/>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80006A"/>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80006A"/>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80006A"/>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80006A"/>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80006A"/>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80006A"/>
    <w:rPr>
      <w:rFonts w:eastAsiaTheme="majorEastAsia" w:cstheme="majorBidi"/>
      <w:color w:val="595959" w:themeColor="text1" w:themeTint="A6"/>
    </w:rPr>
  </w:style>
  <w:style w:type="character" w:customStyle="1" w:styleId="80">
    <w:name w:val="Заголовок 8 Знак"/>
    <w:basedOn w:val="a0"/>
    <w:link w:val="8"/>
    <w:uiPriority w:val="9"/>
    <w:semiHidden/>
    <w:rsid w:val="0080006A"/>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80006A"/>
    <w:rPr>
      <w:rFonts w:eastAsiaTheme="majorEastAsia" w:cstheme="majorBidi"/>
      <w:color w:val="272727" w:themeColor="text1" w:themeTint="D8"/>
    </w:rPr>
  </w:style>
  <w:style w:type="paragraph" w:styleId="a3">
    <w:name w:val="Title"/>
    <w:basedOn w:val="a"/>
    <w:next w:val="a"/>
    <w:link w:val="a4"/>
    <w:uiPriority w:val="10"/>
    <w:qFormat/>
    <w:rsid w:val="0080006A"/>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a4">
    <w:name w:val="Заголовок Знак"/>
    <w:basedOn w:val="a0"/>
    <w:link w:val="a3"/>
    <w:uiPriority w:val="10"/>
    <w:rsid w:val="0080006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0006A"/>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a6">
    <w:name w:val="Подзаголовок Знак"/>
    <w:basedOn w:val="a0"/>
    <w:link w:val="a5"/>
    <w:uiPriority w:val="11"/>
    <w:rsid w:val="0080006A"/>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80006A"/>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22">
    <w:name w:val="Цитата 2 Знак"/>
    <w:basedOn w:val="a0"/>
    <w:link w:val="21"/>
    <w:uiPriority w:val="29"/>
    <w:rsid w:val="0080006A"/>
    <w:rPr>
      <w:i/>
      <w:iCs/>
      <w:color w:val="404040" w:themeColor="text1" w:themeTint="BF"/>
    </w:rPr>
  </w:style>
  <w:style w:type="paragraph" w:styleId="a7">
    <w:name w:val="List Paragraph"/>
    <w:basedOn w:val="a"/>
    <w:uiPriority w:val="34"/>
    <w:qFormat/>
    <w:rsid w:val="0080006A"/>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a8">
    <w:name w:val="Intense Emphasis"/>
    <w:basedOn w:val="a0"/>
    <w:uiPriority w:val="21"/>
    <w:qFormat/>
    <w:rsid w:val="0080006A"/>
    <w:rPr>
      <w:i/>
      <w:iCs/>
      <w:color w:val="0F4761" w:themeColor="accent1" w:themeShade="BF"/>
    </w:rPr>
  </w:style>
  <w:style w:type="paragraph" w:styleId="a9">
    <w:name w:val="Intense Quote"/>
    <w:basedOn w:val="a"/>
    <w:next w:val="a"/>
    <w:link w:val="aa"/>
    <w:uiPriority w:val="30"/>
    <w:qFormat/>
    <w:rsid w:val="0080006A"/>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aa">
    <w:name w:val="Выделенная цитата Знак"/>
    <w:basedOn w:val="a0"/>
    <w:link w:val="a9"/>
    <w:uiPriority w:val="30"/>
    <w:rsid w:val="0080006A"/>
    <w:rPr>
      <w:i/>
      <w:iCs/>
      <w:color w:val="0F4761" w:themeColor="accent1" w:themeShade="BF"/>
    </w:rPr>
  </w:style>
  <w:style w:type="character" w:styleId="ab">
    <w:name w:val="Intense Reference"/>
    <w:basedOn w:val="a0"/>
    <w:uiPriority w:val="32"/>
    <w:qFormat/>
    <w:rsid w:val="0080006A"/>
    <w:rPr>
      <w:b/>
      <w:bCs/>
      <w:smallCaps/>
      <w:color w:val="0F4761" w:themeColor="accent1" w:themeShade="BF"/>
      <w:spacing w:val="5"/>
    </w:rPr>
  </w:style>
  <w:style w:type="paragraph" w:styleId="ac">
    <w:name w:val="Body Text Indent"/>
    <w:basedOn w:val="a"/>
    <w:link w:val="ad"/>
    <w:semiHidden/>
    <w:rsid w:val="0080006A"/>
    <w:pPr>
      <w:autoSpaceDE w:val="0"/>
      <w:autoSpaceDN w:val="0"/>
      <w:adjustRightInd w:val="0"/>
      <w:ind w:firstLine="708"/>
      <w:jc w:val="both"/>
    </w:pPr>
    <w:rPr>
      <w:sz w:val="28"/>
    </w:rPr>
  </w:style>
  <w:style w:type="character" w:customStyle="1" w:styleId="ad">
    <w:name w:val="Основной текст с отступом Знак"/>
    <w:basedOn w:val="a0"/>
    <w:link w:val="ac"/>
    <w:semiHidden/>
    <w:rsid w:val="0080006A"/>
    <w:rPr>
      <w:rFonts w:ascii="Times New Roman" w:eastAsia="Times New Roman" w:hAnsi="Times New Roman" w:cs="Times New Roman"/>
      <w:kern w:val="0"/>
      <w:sz w:val="28"/>
      <w:szCs w:val="24"/>
      <w:lang w:val="en" w:eastAsia="ru-RU"/>
      <w14:ligatures w14:val="none"/>
    </w:rPr>
  </w:style>
  <w:style w:type="table" w:styleId="ae">
    <w:name w:val="Table Grid"/>
    <w:basedOn w:val="a1"/>
    <w:uiPriority w:val="59"/>
    <w:rsid w:val="0080006A"/>
    <w:pPr>
      <w:spacing w:after="0" w:line="240" w:lineRule="auto"/>
    </w:pPr>
    <w:rPr>
      <w:rFonts w:ascii="Calibri" w:eastAsia="Calibri" w:hAnsi="Calibri"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Revision"/>
    <w:hidden/>
    <w:uiPriority w:val="99"/>
    <w:semiHidden/>
    <w:rsid w:val="00D93171"/>
    <w:pPr>
      <w:spacing w:after="0" w:line="240" w:lineRule="auto"/>
    </w:pPr>
    <w:rPr>
      <w:rFonts w:ascii="Times New Roman" w:eastAsia="Times New Roman" w:hAnsi="Times New Roman" w:cs="Times New Roman"/>
      <w:kern w:val="0"/>
      <w:sz w:val="24"/>
      <w:szCs w:val="24"/>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39CEB11A03B3419523412B99BC0551" ma:contentTypeVersion="6" ma:contentTypeDescription="Create a new document." ma:contentTypeScope="" ma:versionID="6e550b6e6de7f56ba3a11149e27e7572">
  <xsd:schema xmlns:xsd="http://www.w3.org/2001/XMLSchema" xmlns:xs="http://www.w3.org/2001/XMLSchema" xmlns:p="http://schemas.microsoft.com/office/2006/metadata/properties" xmlns:ns3="bf4c9d02-e16f-4743-b1cf-35188e873044" targetNamespace="http://schemas.microsoft.com/office/2006/metadata/properties" ma:root="true" ma:fieldsID="7b52809430a72caa7f9541f747f74d80" ns3:_="">
    <xsd:import namespace="bf4c9d02-e16f-4743-b1cf-35188e873044"/>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4c9d02-e16f-4743-b1cf-35188e873044"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bf4c9d02-e16f-4743-b1cf-35188e87304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3AB64D-0AD9-4068-B07A-860AF3B433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4c9d02-e16f-4743-b1cf-35188e8730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6FF604-148F-4EC9-B7BD-38D8B0D716D1}">
  <ds:schemaRefs>
    <ds:schemaRef ds:uri="http://schemas.microsoft.com/office/2006/metadata/properties"/>
    <ds:schemaRef ds:uri="http://schemas.microsoft.com/office/infopath/2007/PartnerControls"/>
    <ds:schemaRef ds:uri="bf4c9d02-e16f-4743-b1cf-35188e873044"/>
  </ds:schemaRefs>
</ds:datastoreItem>
</file>

<file path=customXml/itemProps3.xml><?xml version="1.0" encoding="utf-8"?>
<ds:datastoreItem xmlns:ds="http://schemas.openxmlformats.org/officeDocument/2006/customXml" ds:itemID="{8099E1B8-6CB2-4D0C-B025-DB69880A407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232</Words>
  <Characters>1226</Characters>
  <Application>Microsoft Office Word</Application>
  <DocSecurity>0</DocSecurity>
  <Lines>43</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Durdona R. Nadjimova</dc:creator>
  <cp:keywords/>
  <dc:description/>
  <cp:lastModifiedBy>Durdona R. Nadjimova</cp:lastModifiedBy>
  <cp:revision>5</cp:revision>
  <cp:lastPrinted>2025-03-25T09:00:00Z</cp:lastPrinted>
  <dcterms:created xsi:type="dcterms:W3CDTF">2025-04-11T09:25:00Z</dcterms:created>
  <dcterms:modified xsi:type="dcterms:W3CDTF">2026-03-18T06:25:00Z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0x010100D839CEB11A03B3419523412B99BC0551</vt:lpwstr>
  </property>
</Properties>
</file>