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20"/>
      </w:pPr>
    </w:p>
    <w:tbl>
      <w:tblPr>
        <w:tblW w:type="dxa" w:w="10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40"/>
        <w:gridCol w:w="3420"/>
      </w:tblGrid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1.  Valyuta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50"/>
              <w:left w:type="dxa" w:w="120"/>
              <w:bottom w:type="dxa" w:w="5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04040"/>
                <w:sz w:val="21"/>
                <w:szCs w:val="21"/>
              </w:rPr>
              <w:t xml:space="preserve">UZS/Dollar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2.  To'lov tizimi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50"/>
              <w:left w:type="dxa" w:w="120"/>
              <w:bottom w:type="dxa" w:w="5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04040"/>
                <w:sz w:val="21"/>
                <w:szCs w:val="21"/>
              </w:rPr>
              <w:t xml:space="preserve">Humo-Visa  Humo-Mastercard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3.  Chiqarish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3.1.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Bank kartalarini chiqarish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50 000 so'm²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3.2.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Buzilish yoki yo'qotilish holatida qayta chiqarish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50 000 so'm²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3.3.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Amal qilish muddati tugagandan keyin qayta chiqarish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50 000 so'm²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4.  Xizmat ko'rsatish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Yillik xizmat ko'rsatish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Bepul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5.  To'ldirish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5.1.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Ipoteka-bank bankomatlarida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1%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5.2.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Boshqa banklar bankomatlarida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Boshqa bank tarifiga muvofiq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5.3.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Ipoteka-bank kassalarida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1%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5.4.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Boshqa banklar kassalarida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Boshqa bank tarifiga muvofiq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5.5.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Ipoteka-bank kartalaridan Ipoteka Retail orqali o'tkazma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Bepul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5.6.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Boshqa banklar kartalaridan Ipoteka Retail orqali o'tkazma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Bepul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5.7.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Elektron hamyondan Ipoteka Retail orqali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Bepul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5.8.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Talab qilib olinguncha depozitdan (20206-8__) Ipoteka Retail orqali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1,5%¹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5.9.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Hisob raqami bo'yicha o'tkazma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0,5%³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6.  Naqd pul yechish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6.1.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Ipoteka-bank bankomatlarida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1%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6.2.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Boshqa banklar bankomatlarida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Boshqa bank tarifiga muvofiq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6.3.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Ipoteka-bank kassalarida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1%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6.4.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Boshqa banklar kassalarida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Boshqa bank tarifiga muvofiq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7.  O'tkazmalar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7.1.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Ipoteka-bank kartasiga Ipoteka Retail orqali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Bepul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7.2.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Boshqa bank kartasiga Ipoteka Retail orqali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0,75%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7.3.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Elektron hamyonga Ipoteka Retail orqali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Bepul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7.4.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Hisob raqami bo'yicha bank ichidagi o'tkazma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Bepul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7.5.  </w:t>
            </w: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Boshqa bankka hisob raqami bo'yicha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3% (kamida 20 000 so'm)⁴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8.  SMS-xabarnoma</w:t>
            </w:r>
          </w:p>
        </w:tc>
      </w:tr>
      <w:tr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Operatsiyalar haqida SMS-xabarnoma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single" w:color="D9D9D9" w:sz="2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To'lov tizimi tarifiga muvofiq</w:t>
            </w:r>
          </w:p>
        </w:tc>
      </w:tr>
    </w:tbl>
    <w:p>
      <w:pPr>
        <w:spacing w:after="30" w:before="100"/>
      </w:pPr>
      <w:r>
        <w:rPr>
          <w:rFonts w:ascii="Arial" w:cs="Arial" w:eastAsia="Arial" w:hAnsi="Arial"/>
          <w:color w:val="595959"/>
          <w:sz w:val="15"/>
          <w:szCs w:val="15"/>
        </w:rPr>
        <w:t xml:space="preserve">1. Faqat ma'lumot uchun. Tarif jismoniy shaxslar uchun umumiy tariflar to'plamida belgilanadi</w:t>
      </w:r>
    </w:p>
    <w:p>
      <w:pPr>
        <w:spacing w:after="30" w:before="0"/>
      </w:pPr>
      <w:r>
        <w:rPr>
          <w:rFonts w:ascii="Arial" w:cs="Arial" w:eastAsia="Arial" w:hAnsi="Arial"/>
          <w:color w:val="595959"/>
          <w:sz w:val="15"/>
          <w:szCs w:val="15"/>
        </w:rPr>
        <w:t xml:space="preserve">2. Ish haqi, stipendiya va pensiya loyihalari uchun; 3 oydan ortiq muddatli depozit egalari uchun (10 mln so'mdan / 1000 dollardan); kartomat, bankomat, sayt va mobil ilova orqali chiqarilganda bepul</w:t>
      </w:r>
    </w:p>
    <w:p>
      <w:pPr>
        <w:spacing w:after="30" w:before="0"/>
      </w:pPr>
      <w:r>
        <w:rPr>
          <w:rFonts w:ascii="Arial" w:cs="Arial" w:eastAsia="Arial" w:hAnsi="Arial"/>
          <w:color w:val="595959"/>
          <w:sz w:val="15"/>
          <w:szCs w:val="15"/>
        </w:rPr>
        <w:t xml:space="preserve">3. Ipoteka-bank mijozlari bo'lgan yuridik shaxslar va YaTT hisob raqamlaridan tushumlar, shuningdek filiallar tomonidan kartalarga kredit berishdan tashqari</w:t>
      </w:r>
    </w:p>
    <w:p>
      <w:pPr>
        <w:spacing w:after="0" w:before="0"/>
      </w:pPr>
      <w:r>
        <w:rPr>
          <w:rFonts w:ascii="Arial" w:cs="Arial" w:eastAsia="Arial" w:hAnsi="Arial"/>
          <w:color w:val="595959"/>
          <w:sz w:val="15"/>
          <w:szCs w:val="15"/>
        </w:rPr>
        <w:t xml:space="preserve">4. OTMlar uchun to'lovlar: 2% (kamida 20 000 so'm). «Umra» va «Haj» uchun: bepul</w:t>
      </w:r>
    </w:p>
    <w:sectPr>
      <w:headerReference w:type="default" r:id="rId7"/>
      <w:footerReference w:type="default" r:id="rId8"/>
      <w:pgSz w:w="11906" w:h="16838" w:orient="portrait"/>
      <w:pgMar w:top="0" w:right="560" w:bottom="0" w:left="5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1078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800"/>
      <w:gridCol w:w="4493"/>
      <w:gridCol w:w="5493"/>
    </w:tblGrid>
    <w:tr>
      <w:tc>
        <w:tcPr>
          <w:tcW w:type="dxa" w:w="8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2E7D4F" w:val="clear"/>
          <w:tcMar>
            <w:top w:type="dxa" w:w="260"/>
            <w:left w:type="dxa" w:w="0"/>
            <w:bottom w:type="dxa" w:w="260"/>
            <w:right w:type="dxa" w:w="120"/>
          </w:tcMar>
          <w:vAlign w:val="center"/>
        </w:tcPr>
        <w:p>
          <w:r>
            <w:drawing>
              <wp:inline distT="0" distB="0" distL="0" distR="0">
                <wp:extent cx="533400" cy="5334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49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2E7D4F" w:val="clear"/>
          <w:tcMar>
            <w:top w:type="dxa" w:w="260"/>
            <w:left w:type="dxa" w:w="0"/>
            <w:bottom w:type="dxa" w:w="260"/>
            <w:right w:type="dxa" w:w="200"/>
          </w:tcMar>
          <w:vAlign w:val="center"/>
        </w:tcPr>
        <w:p>
          <w:pPr>
            <w:spacing w:after="30"/>
          </w:pPr>
          <w:r>
            <w:rPr>
              <w:rFonts w:ascii="Arial" w:cs="Arial" w:eastAsia="Arial" w:hAnsi="Arial"/>
              <w:b/>
              <w:bCs/>
              <w:color w:val="FFFFFF"/>
              <w:sz w:val="19"/>
              <w:szCs w:val="19"/>
            </w:rPr>
            <w:t xml:space="preserve">Mobil ilova</w:t>
          </w:r>
        </w:p>
        <w:p>
          <w:r>
            <w:rPr>
              <w:rFonts w:ascii="Arial" w:cs="Arial" w:eastAsia="Arial" w:hAnsi="Arial"/>
              <w:color w:val="E8F5EE"/>
              <w:sz w:val="14"/>
              <w:szCs w:val="14"/>
            </w:rPr>
            <w:t xml:space="preserve">QR-kodni skanerlab yuklab oling. To'lovlar va o'tkazmalar haqida ma'lumot, xaridlar tarixi, moliyaga 24/7 kirish</w:t>
          </w:r>
        </w:p>
      </w:tc>
      <w:tc>
        <w:tcPr>
          <w:tcW w:type="dxa" w:w="549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2E7D4F" w:val="clear"/>
          <w:tcMar>
            <w:top w:type="dxa" w:w="260"/>
            <w:left w:type="dxa" w:w="200"/>
            <w:bottom w:type="dxa" w:w="260"/>
            <w:right w:type="dxa" w:w="0"/>
          </w:tcMar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FFFFFF"/>
              <w:sz w:val="19"/>
              <w:szCs w:val="19"/>
            </w:rPr>
            <w:t xml:space="preserve">+998 (78) 150-11-22</w:t>
          </w:r>
        </w:p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FFFFFF"/>
              <w:sz w:val="19"/>
              <w:szCs w:val="19"/>
            </w:rPr>
            <w:t xml:space="preserve">info@ipotekabank.uz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78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486"/>
      <w:gridCol w:w="4300"/>
    </w:tblGrid>
    <w:tr>
      <w:tc>
        <w:tcPr>
          <w:tcW w:type="dxa" w:w="648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FFFFFF" w:val="clear"/>
          <w:tcMar>
            <w:top w:type="dxa" w:w="300"/>
            <w:left w:type="dxa" w:w="0"/>
            <w:bottom w:type="dxa" w:w="300"/>
            <w:right w:type="dxa" w:w="200"/>
          </w:tcMar>
          <w:vAlign w:val="center"/>
        </w:tcPr>
        <w:p>
          <w:pPr>
            <w:spacing w:after="60"/>
          </w:pPr>
          <w:r>
            <w:rPr>
              <w:rFonts w:ascii="Arial" w:cs="Arial" w:eastAsia="Arial" w:hAnsi="Arial"/>
              <w:b/>
              <w:bCs/>
              <w:color w:val="1A1A1A"/>
              <w:sz w:val="36"/>
              <w:szCs w:val="36"/>
            </w:rPr>
            <w:t xml:space="preserve">KOBEYDJ KARTA</w:t>
          </w:r>
        </w:p>
        <w:p>
          <w:r>
            <w:rPr>
              <w:rFonts w:ascii="Arial" w:cs="Arial" w:eastAsia="Arial" w:hAnsi="Arial"/>
              <w:color w:val="595959"/>
              <w:sz w:val="19"/>
              <w:szCs w:val="19"/>
            </w:rPr>
            <w:t xml:space="preserve">Tariflardan parcha¹</w:t>
          </w:r>
        </w:p>
      </w:tc>
      <w:tc>
        <w:tcPr>
          <w:tcW w:type="dxa" w:w="43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2E7D4F" w:val="clear"/>
          <w:tcMar>
            <w:top w:type="dxa" w:w="300"/>
            <w:left w:type="dxa" w:w="360"/>
            <w:bottom w:type="dxa" w:w="300"/>
            <w:right w:type="dxa" w:w="360"/>
          </w:tcMar>
          <w:vAlign w:val="center"/>
        </w:tcPr>
        <w:p>
          <w:pPr>
            <w:jc w:val="center"/>
          </w:pPr>
          <w:r>
            <w:drawing>
              <wp:inline distT="0" distB="0" distL="0" distR="0">
                <wp:extent cx="2047875" cy="5143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7469dd4036e5e48d0ab3f30832194a0fc1ddbf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7d2bba6bed3371e25d6ec961a6dc70b0a82f09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2026-06-16T06:37:34.729Z</dcterms:created>
  <dcterms:modified xsi:type="dcterms:W3CDTF">2026-06-16T06:37:34.729Z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