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6C55" w14:textId="64B6B781" w:rsidR="0080006A" w:rsidRDefault="0080006A" w:rsidP="0080006A">
      <w:pPr>
        <w:pStyle w:val="ac"/>
        <w:widowControl w:val="0"/>
        <w:spacing w:before="40" w:after="40" w:line="312" w:lineRule="auto"/>
        <w:ind w:firstLine="0"/>
        <w:rPr>
          <w:b/>
          <w:sz w:val="24"/>
        </w:rPr>
      </w:pPr>
      <w:r w:rsidRPr="001A7715">
        <w:rPr>
          <w:noProof/>
        </w:rPr>
        <w:drawing>
          <wp:anchor distT="0" distB="0" distL="114300" distR="114300" simplePos="0" relativeHeight="251659264" behindDoc="1" locked="0" layoutInCell="1" allowOverlap="1" wp14:anchorId="103F4A96" wp14:editId="2D952BB3">
            <wp:simplePos x="0" y="0"/>
            <wp:positionH relativeFrom="page">
              <wp:align>left</wp:align>
            </wp:positionH>
            <wp:positionV relativeFrom="paragraph">
              <wp:posOffset>-436245</wp:posOffset>
            </wp:positionV>
            <wp:extent cx="7599680" cy="11525250"/>
            <wp:effectExtent l="0" t="0" r="127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15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0A3D" wp14:editId="4C4CC9CD">
                <wp:simplePos x="0" y="0"/>
                <wp:positionH relativeFrom="column">
                  <wp:posOffset>2243206</wp:posOffset>
                </wp:positionH>
                <wp:positionV relativeFrom="paragraph">
                  <wp:posOffset>-305076</wp:posOffset>
                </wp:positionV>
                <wp:extent cx="3357880" cy="699715"/>
                <wp:effectExtent l="0" t="0" r="13970" b="2476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69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3C66E8" w14:textId="77777777" w:rsidR="0080006A" w:rsidRPr="006F7171" w:rsidRDefault="0080006A" w:rsidP="0080006A">
                            <w:pPr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2AE48"/>
                                <w:sz w:val="44"/>
                                <w:szCs w:val="44"/>
                                <w:lang w:val="en-US"/>
                              </w:rPr>
                              <w:t>S</w:t>
                            </w:r>
                            <w:r w:rsidRPr="00567119">
                              <w:rPr>
                                <w:b/>
                                <w:color w:val="02AE48"/>
                                <w:sz w:val="44"/>
                                <w:szCs w:val="44"/>
                                <w:lang w:val="en-US"/>
                              </w:rPr>
                              <w:t>tructured deposit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F0A3D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176.65pt;margin-top:-24pt;width:264.4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" fillcolor="white [3201]" strokecolor="white [3212]" strokeweight=".5pt">
                <v:textbox>
                  <w:txbxContent>
                    <w:p w14:paraId="323C66E8" w14:textId="77777777" w:rsidR="0080006A" w:rsidRPr="006F7171" w:rsidRDefault="0080006A" w:rsidP="0080006A">
                      <w:pPr>
                        <w:rPr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b/>
                          <w:color w:val="02AE48"/>
                          <w:sz w:val="44"/>
                          <w:szCs w:val="44"/>
                          <w:lang w:val="en-US"/>
                        </w:rPr>
                        <w:t>S</w:t>
                      </w:r>
                      <w:r w:rsidRPr="00567119">
                        <w:rPr>
                          <w:b/>
                          <w:color w:val="02AE48"/>
                          <w:sz w:val="44"/>
                          <w:szCs w:val="44"/>
                          <w:lang w:val="en-US"/>
                        </w:rPr>
                        <w:t>tructured deposit</w:t>
                      </w:r>
                    </w:p>
                  </w:txbxContent>
                </v:textbox>
              </v:shape>
            </w:pict>
          </mc:Fallback>
        </mc:AlternateContent>
      </w:r>
    </w:p>
    <w:p w14:paraId="55F2AD7A" w14:textId="50AABF5B" w:rsidR="0080006A" w:rsidRDefault="003E54CF" w:rsidP="0080006A">
      <w:pPr>
        <w:pStyle w:val="ac"/>
        <w:widowControl w:val="0"/>
        <w:spacing w:line="312" w:lineRule="auto"/>
        <w:ind w:left="6654" w:firstLine="426"/>
        <w:jc w:val="center"/>
        <w:rPr>
          <w:b/>
          <w:sz w:val="23"/>
          <w:szCs w:val="2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F428A" wp14:editId="49C285E1">
                <wp:simplePos x="0" y="0"/>
                <wp:positionH relativeFrom="column">
                  <wp:posOffset>2795829</wp:posOffset>
                </wp:positionH>
                <wp:positionV relativeFrom="paragraph">
                  <wp:posOffset>8824</wp:posOffset>
                </wp:positionV>
                <wp:extent cx="2371725" cy="88492"/>
                <wp:effectExtent l="0" t="0" r="28575" b="260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8E891" id="Прямоугольник 14" o:spid="_x0000_s1026" style="position:absolute;margin-left:220.15pt;margin-top:.7pt;width:186.7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" fillcolor="white [3212]" strokecolor="white [3212]" strokeweight="1pt"/>
            </w:pict>
          </mc:Fallback>
        </mc:AlternateContent>
      </w:r>
    </w:p>
    <w:p w14:paraId="59F60ECA" w14:textId="1A83359F" w:rsidR="0080006A" w:rsidRPr="008D6BCE" w:rsidRDefault="0080006A" w:rsidP="0080006A">
      <w:pPr>
        <w:pStyle w:val="ac"/>
        <w:widowControl w:val="0"/>
        <w:spacing w:line="312" w:lineRule="auto"/>
        <w:ind w:left="6654" w:firstLine="426"/>
        <w:jc w:val="right"/>
        <w:rPr>
          <w:b/>
          <w:sz w:val="23"/>
          <w:szCs w:val="23"/>
          <w:lang w:val="en-US"/>
        </w:rPr>
      </w:pPr>
      <w:r w:rsidRPr="007E3924">
        <w:rPr>
          <w:b/>
          <w:sz w:val="20"/>
          <w:szCs w:val="23"/>
          <w:lang w:val="ru-RU"/>
        </w:rPr>
        <w:br/>
      </w:r>
    </w:p>
    <w:p w14:paraId="4FA243AF" w14:textId="77777777" w:rsidR="0080006A" w:rsidRPr="007E3924" w:rsidRDefault="0080006A" w:rsidP="0080006A">
      <w:pPr>
        <w:tabs>
          <w:tab w:val="left" w:pos="0"/>
          <w:tab w:val="left" w:pos="284"/>
        </w:tabs>
        <w:ind w:left="360"/>
        <w:jc w:val="center"/>
        <w:rPr>
          <w:b/>
          <w:sz w:val="23"/>
          <w:szCs w:val="23"/>
          <w:lang w:val="ru-RU"/>
        </w:rPr>
      </w:pPr>
    </w:p>
    <w:p w14:paraId="1F0B646C" w14:textId="77777777" w:rsidR="0080006A" w:rsidRPr="007E3924" w:rsidRDefault="0080006A" w:rsidP="0080006A">
      <w:pPr>
        <w:tabs>
          <w:tab w:val="left" w:pos="0"/>
          <w:tab w:val="left" w:pos="284"/>
        </w:tabs>
        <w:ind w:left="360"/>
        <w:jc w:val="center"/>
        <w:rPr>
          <w:b/>
          <w:sz w:val="23"/>
          <w:szCs w:val="23"/>
          <w:lang w:val="ru-RU"/>
        </w:rPr>
      </w:pPr>
    </w:p>
    <w:p w14:paraId="247044D9" w14:textId="77777777" w:rsidR="0080006A" w:rsidRPr="00F748AF" w:rsidRDefault="0080006A" w:rsidP="0080006A">
      <w:pPr>
        <w:tabs>
          <w:tab w:val="left" w:pos="9780"/>
        </w:tabs>
        <w:rPr>
          <w:b/>
          <w:bCs/>
          <w:sz w:val="26"/>
          <w:szCs w:val="26"/>
          <w:lang w:val="uz-Cyrl-UZ"/>
        </w:rPr>
      </w:pPr>
    </w:p>
    <w:tbl>
      <w:tblPr>
        <w:tblStyle w:val="ae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4"/>
        <w:gridCol w:w="6805"/>
      </w:tblGrid>
      <w:tr w:rsidR="008D6BCE" w:rsidRPr="003538C2" w14:paraId="1B2A68A1" w14:textId="77777777" w:rsidTr="00D23BD7">
        <w:trPr>
          <w:trHeight w:val="351"/>
        </w:trPr>
        <w:tc>
          <w:tcPr>
            <w:tcW w:w="3544" w:type="dxa"/>
          </w:tcPr>
          <w:p w14:paraId="020E0F74" w14:textId="4616A649" w:rsidR="008D6BCE" w:rsidRPr="00DE0A41" w:rsidRDefault="008D6BCE" w:rsidP="008D6BCE">
            <w:pPr>
              <w:rPr>
                <w:sz w:val="23"/>
                <w:szCs w:val="23"/>
              </w:rPr>
            </w:pPr>
            <w:proofErr w:type="spellStart"/>
            <w:r w:rsidRPr="00106445">
              <w:t>Depozit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turi</w:t>
            </w:r>
            <w:proofErr w:type="spellEnd"/>
          </w:p>
        </w:tc>
        <w:tc>
          <w:tcPr>
            <w:tcW w:w="6805" w:type="dxa"/>
          </w:tcPr>
          <w:p w14:paraId="707387B7" w14:textId="6F9D957A" w:rsidR="008D6BCE" w:rsidRPr="008D6BCE" w:rsidRDefault="008D6BCE" w:rsidP="008D6BCE">
            <w:pPr>
              <w:jc w:val="both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M</w:t>
            </w:r>
            <w:proofErr w:type="spellStart"/>
            <w:r w:rsidRPr="001376F5">
              <w:t>uddatli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depozit</w:t>
            </w:r>
            <w:proofErr w:type="spellEnd"/>
            <w:r>
              <w:rPr>
                <w:lang w:val="en-US"/>
              </w:rPr>
              <w:t xml:space="preserve"> “</w:t>
            </w:r>
            <w:r w:rsidRPr="001376F5">
              <w:t>Premium</w:t>
            </w:r>
            <w:r>
              <w:rPr>
                <w:lang w:val="en-US"/>
              </w:rPr>
              <w:t>”</w:t>
            </w:r>
          </w:p>
        </w:tc>
      </w:tr>
      <w:tr w:rsidR="008D6BCE" w:rsidRPr="00EE5B1B" w14:paraId="7A8BB795" w14:textId="77777777" w:rsidTr="00D23BD7">
        <w:tc>
          <w:tcPr>
            <w:tcW w:w="3544" w:type="dxa"/>
          </w:tcPr>
          <w:p w14:paraId="44FC9752" w14:textId="17CEB38A" w:rsidR="008D6BCE" w:rsidRPr="00DE0A41" w:rsidRDefault="008D6BCE" w:rsidP="008D6BCE">
            <w:pPr>
              <w:rPr>
                <w:sz w:val="23"/>
                <w:szCs w:val="23"/>
                <w:lang w:val="en-US"/>
              </w:rPr>
            </w:pPr>
            <w:proofErr w:type="spellStart"/>
            <w:r w:rsidRPr="00106445">
              <w:t>Ro'yxatga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olish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ob'ekti</w:t>
            </w:r>
            <w:proofErr w:type="spellEnd"/>
          </w:p>
        </w:tc>
        <w:tc>
          <w:tcPr>
            <w:tcW w:w="6805" w:type="dxa"/>
          </w:tcPr>
          <w:p w14:paraId="2945EC6C" w14:textId="3EACFCA5" w:rsidR="008D6BCE" w:rsidRPr="00DE0A41" w:rsidRDefault="008D6BCE" w:rsidP="008D6BCE">
            <w:pPr>
              <w:jc w:val="both"/>
              <w:rPr>
                <w:sz w:val="23"/>
                <w:szCs w:val="23"/>
                <w:lang w:val="uz-Cyrl-UZ"/>
              </w:rPr>
            </w:pPr>
            <w:proofErr w:type="spellStart"/>
            <w:r w:rsidRPr="008D6BCE">
              <w:rPr>
                <w:lang w:val="en-US"/>
              </w:rPr>
              <w:t>Mablag'lar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joriy</w:t>
            </w:r>
            <w:proofErr w:type="spellEnd"/>
            <w:r w:rsidRPr="008D6BCE">
              <w:rPr>
                <w:lang w:val="en-US"/>
              </w:rPr>
              <w:t>/</w:t>
            </w:r>
            <w:proofErr w:type="spellStart"/>
            <w:r w:rsidRPr="008D6BCE">
              <w:rPr>
                <w:lang w:val="en-US"/>
              </w:rPr>
              <w:t>ikkilamchi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hisobvaraqdan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qabul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qilinadi</w:t>
            </w:r>
            <w:proofErr w:type="spellEnd"/>
          </w:p>
        </w:tc>
      </w:tr>
      <w:tr w:rsidR="008D6BCE" w:rsidRPr="003538C2" w14:paraId="6DE54836" w14:textId="77777777" w:rsidTr="00D23BD7">
        <w:tc>
          <w:tcPr>
            <w:tcW w:w="3544" w:type="dxa"/>
          </w:tcPr>
          <w:p w14:paraId="5D0ED2DA" w14:textId="4799C69D" w:rsidR="008D6BCE" w:rsidRPr="00DE0A41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06445">
              <w:t>Depozit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valyutasi</w:t>
            </w:r>
            <w:proofErr w:type="spellEnd"/>
          </w:p>
        </w:tc>
        <w:tc>
          <w:tcPr>
            <w:tcW w:w="6805" w:type="dxa"/>
          </w:tcPr>
          <w:p w14:paraId="1CBBDBA0" w14:textId="7C3EC4CA" w:rsidR="008D6BCE" w:rsidRPr="00DE0A41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376F5">
              <w:t>Milliy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va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xorijiy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valyutada</w:t>
            </w:r>
            <w:proofErr w:type="spellEnd"/>
          </w:p>
        </w:tc>
      </w:tr>
      <w:tr w:rsidR="008D6BCE" w:rsidRPr="00C86421" w14:paraId="3D2529E8" w14:textId="77777777" w:rsidTr="00D23BD7">
        <w:tc>
          <w:tcPr>
            <w:tcW w:w="3544" w:type="dxa"/>
          </w:tcPr>
          <w:p w14:paraId="10103D93" w14:textId="56B2377E" w:rsidR="008D6BCE" w:rsidRPr="00DE0A41" w:rsidRDefault="008D6BCE" w:rsidP="008D6BCE">
            <w:pPr>
              <w:rPr>
                <w:sz w:val="23"/>
                <w:szCs w:val="23"/>
                <w:lang w:val="en-US"/>
              </w:rPr>
            </w:pPr>
            <w:proofErr w:type="spellStart"/>
            <w:r w:rsidRPr="00106445">
              <w:t>Depozitni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saqlash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muddati</w:t>
            </w:r>
            <w:proofErr w:type="spellEnd"/>
          </w:p>
        </w:tc>
        <w:tc>
          <w:tcPr>
            <w:tcW w:w="6805" w:type="dxa"/>
          </w:tcPr>
          <w:p w14:paraId="5A16F0EA" w14:textId="057FC7F8" w:rsidR="008D6BCE" w:rsidRPr="005F2537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376F5">
              <w:t>Tomonlarning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kelishuvi</w:t>
            </w:r>
            <w:proofErr w:type="spellEnd"/>
            <w:r w:rsidRPr="001376F5">
              <w:t xml:space="preserve"> </w:t>
            </w:r>
            <w:proofErr w:type="spellStart"/>
            <w:r w:rsidRPr="001376F5">
              <w:t>bilan</w:t>
            </w:r>
            <w:proofErr w:type="spellEnd"/>
          </w:p>
        </w:tc>
      </w:tr>
      <w:tr w:rsidR="008D6BCE" w:rsidRPr="003538C2" w14:paraId="68A64298" w14:textId="77777777" w:rsidTr="00D23BD7">
        <w:tc>
          <w:tcPr>
            <w:tcW w:w="3544" w:type="dxa"/>
          </w:tcPr>
          <w:p w14:paraId="55C58E82" w14:textId="5D004826" w:rsidR="008D6BCE" w:rsidRPr="00DE0A41" w:rsidRDefault="008D6BCE" w:rsidP="008D6BCE">
            <w:pPr>
              <w:rPr>
                <w:sz w:val="23"/>
                <w:szCs w:val="23"/>
                <w:lang w:val="en-US"/>
              </w:rPr>
            </w:pPr>
            <w:proofErr w:type="spellStart"/>
            <w:r w:rsidRPr="00106445">
              <w:t>Minimal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depozit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miqdori</w:t>
            </w:r>
            <w:proofErr w:type="spellEnd"/>
          </w:p>
        </w:tc>
        <w:tc>
          <w:tcPr>
            <w:tcW w:w="6805" w:type="dxa"/>
          </w:tcPr>
          <w:p w14:paraId="16F8FA47" w14:textId="01E4EAE1" w:rsidR="008D6BCE" w:rsidRPr="006912ED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376F5">
              <w:t>Cheklanmagan</w:t>
            </w:r>
            <w:proofErr w:type="spellEnd"/>
          </w:p>
        </w:tc>
      </w:tr>
      <w:tr w:rsidR="008D6BCE" w:rsidRPr="003538C2" w14:paraId="4C4AD67B" w14:textId="77777777" w:rsidTr="00D23BD7">
        <w:tc>
          <w:tcPr>
            <w:tcW w:w="3544" w:type="dxa"/>
          </w:tcPr>
          <w:p w14:paraId="4D55A207" w14:textId="25B63DAA" w:rsidR="008D6BCE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06445">
              <w:t>Maksimal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depozit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miqdori</w:t>
            </w:r>
            <w:proofErr w:type="spellEnd"/>
          </w:p>
        </w:tc>
        <w:tc>
          <w:tcPr>
            <w:tcW w:w="6805" w:type="dxa"/>
          </w:tcPr>
          <w:p w14:paraId="6935B417" w14:textId="74B5ED1B" w:rsidR="008D6BCE" w:rsidRPr="006912ED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376F5">
              <w:t>Cheklanmagan</w:t>
            </w:r>
            <w:proofErr w:type="spellEnd"/>
          </w:p>
        </w:tc>
      </w:tr>
      <w:tr w:rsidR="008D6BCE" w:rsidRPr="00EE5B1B" w14:paraId="4CF2D5F3" w14:textId="77777777" w:rsidTr="00D23BD7">
        <w:tc>
          <w:tcPr>
            <w:tcW w:w="3544" w:type="dxa"/>
          </w:tcPr>
          <w:p w14:paraId="00802B27" w14:textId="6377C79A" w:rsidR="008D6BCE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8D6BCE">
              <w:rPr>
                <w:lang w:val="en-US"/>
              </w:rPr>
              <w:t>Yillik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foiz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stavkasi</w:t>
            </w:r>
            <w:proofErr w:type="spellEnd"/>
            <w:r w:rsidRPr="008D6BCE">
              <w:rPr>
                <w:lang w:val="en-US"/>
              </w:rPr>
              <w:t xml:space="preserve"> (</w:t>
            </w:r>
            <w:proofErr w:type="spellStart"/>
            <w:r w:rsidRPr="008D6BCE">
              <w:rPr>
                <w:lang w:val="en-US"/>
              </w:rPr>
              <w:t>shartnoma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bo'yicha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foiz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stavkasi</w:t>
            </w:r>
            <w:proofErr w:type="spellEnd"/>
            <w:r w:rsidRPr="008D6BCE">
              <w:rPr>
                <w:lang w:val="en-US"/>
              </w:rPr>
              <w:t>)</w:t>
            </w:r>
          </w:p>
        </w:tc>
        <w:tc>
          <w:tcPr>
            <w:tcW w:w="6805" w:type="dxa"/>
          </w:tcPr>
          <w:p w14:paraId="5004385B" w14:textId="26098B2D" w:rsidR="008D6BCE" w:rsidRPr="00EE5B1B" w:rsidRDefault="00EE5B1B" w:rsidP="008D6BCE">
            <w:pPr>
              <w:rPr>
                <w:sz w:val="23"/>
                <w:szCs w:val="23"/>
                <w:lang w:val="uz-Cyrl-UZ"/>
              </w:rPr>
            </w:pPr>
            <w:r w:rsidRPr="00EE5B1B">
              <w:rPr>
                <w:lang w:val="en-US"/>
              </w:rPr>
              <w:t xml:space="preserve">Banking </w:t>
            </w:r>
            <w:proofErr w:type="spellStart"/>
            <w:r w:rsidRPr="00EE5B1B">
              <w:rPr>
                <w:lang w:val="en-US"/>
              </w:rPr>
              <w:t>ichki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qoidalarga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rioya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qilgan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holda</w:t>
            </w:r>
            <w:proofErr w:type="spellEnd"/>
            <w:r w:rsidRPr="00EE5B1B">
              <w:rPr>
                <w:lang w:val="en-US"/>
              </w:rPr>
              <w:t xml:space="preserve"> individual </w:t>
            </w:r>
            <w:proofErr w:type="spellStart"/>
            <w:r w:rsidRPr="00EE5B1B">
              <w:rPr>
                <w:lang w:val="en-US"/>
              </w:rPr>
              <w:t>tarzda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belgilanadi</w:t>
            </w:r>
            <w:proofErr w:type="spellEnd"/>
          </w:p>
        </w:tc>
      </w:tr>
      <w:tr w:rsidR="008D6BCE" w:rsidRPr="00EE5B1B" w14:paraId="6512C033" w14:textId="77777777" w:rsidTr="00535C06">
        <w:tc>
          <w:tcPr>
            <w:tcW w:w="3544" w:type="dxa"/>
          </w:tcPr>
          <w:p w14:paraId="1B0696E2" w14:textId="4CE6427C" w:rsidR="008D6BCE" w:rsidRPr="00DE0A41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06445">
              <w:t>Foizlarni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hisoblash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tartibi</w:t>
            </w:r>
            <w:proofErr w:type="spellEnd"/>
          </w:p>
        </w:tc>
        <w:tc>
          <w:tcPr>
            <w:tcW w:w="6805" w:type="dxa"/>
          </w:tcPr>
          <w:p w14:paraId="66D71A24" w14:textId="5A9EA331" w:rsidR="008D6BCE" w:rsidRPr="00EE5B1B" w:rsidRDefault="008D6BCE" w:rsidP="008D6BCE">
            <w:pPr>
              <w:jc w:val="both"/>
              <w:rPr>
                <w:sz w:val="23"/>
                <w:szCs w:val="23"/>
                <w:lang w:val="uz-Cyrl-UZ"/>
              </w:rPr>
            </w:pPr>
            <w:r w:rsidRPr="00EE5B1B">
              <w:rPr>
                <w:lang w:val="uz-Cyrl-UZ"/>
              </w:rPr>
              <w:t>Bank omonati summasi bo‘yicha foizlar omonat bank tomonidan qabul qilingan kundan</w:t>
            </w:r>
            <w:r w:rsidR="002B26E8" w:rsidRPr="00EE5B1B">
              <w:rPr>
                <w:lang w:val="uz-Cyrl-UZ"/>
              </w:rPr>
              <w:t xml:space="preserve"> keying kundan</w:t>
            </w:r>
            <w:r w:rsidRPr="00EE5B1B">
              <w:rPr>
                <w:lang w:val="uz-Cyrl-UZ"/>
              </w:rPr>
              <w:t xml:space="preserve"> boshlab omonat omonatchiga qaytarilishi yoki boshqa sabablarga ko‘ra omonatchining hisobvarag‘idan yechib olinishidan oldingi kungacha hisoblanadi (O‘zbekiston Respublikasi Fuqarolik kodeksi, 764-modda).</w:t>
            </w:r>
          </w:p>
        </w:tc>
      </w:tr>
      <w:tr w:rsidR="008D6BCE" w:rsidRPr="00EE5B1B" w14:paraId="6043318D" w14:textId="77777777" w:rsidTr="00535C06">
        <w:trPr>
          <w:trHeight w:val="70"/>
        </w:trPr>
        <w:tc>
          <w:tcPr>
            <w:tcW w:w="3544" w:type="dxa"/>
          </w:tcPr>
          <w:p w14:paraId="1B645EAA" w14:textId="3C7A6942" w:rsidR="008D6BCE" w:rsidRPr="00DE0A41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06445">
              <w:t>Foizlarni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to'lash</w:t>
            </w:r>
            <w:proofErr w:type="spellEnd"/>
          </w:p>
        </w:tc>
        <w:tc>
          <w:tcPr>
            <w:tcW w:w="6805" w:type="dxa"/>
          </w:tcPr>
          <w:p w14:paraId="74905614" w14:textId="0FB4D7A0" w:rsidR="008D6BCE" w:rsidRPr="00EE5B1B" w:rsidRDefault="008D6BCE" w:rsidP="008D6BCE">
            <w:pPr>
              <w:jc w:val="both"/>
              <w:rPr>
                <w:sz w:val="23"/>
                <w:szCs w:val="23"/>
                <w:lang w:val="uz-Cyrl-UZ"/>
              </w:rPr>
            </w:pPr>
            <w:proofErr w:type="spellStart"/>
            <w:r w:rsidRPr="00EE5B1B">
              <w:rPr>
                <w:lang w:val="en-US"/>
              </w:rPr>
              <w:t>Hisoblash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har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kuni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avtomatik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ravishda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hisoblanadi</w:t>
            </w:r>
            <w:proofErr w:type="spellEnd"/>
            <w:r w:rsidRPr="00EE5B1B">
              <w:rPr>
                <w:lang w:val="en-US"/>
              </w:rPr>
              <w:t xml:space="preserve">, </w:t>
            </w:r>
            <w:proofErr w:type="spellStart"/>
            <w:r w:rsidRPr="00EE5B1B">
              <w:rPr>
                <w:lang w:val="en-US"/>
              </w:rPr>
              <w:t>to'lov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keyingi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oyning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birinchi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kunida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amalga</w:t>
            </w:r>
            <w:proofErr w:type="spellEnd"/>
            <w:r w:rsidRPr="00EE5B1B">
              <w:rPr>
                <w:lang w:val="en-US"/>
              </w:rPr>
              <w:t xml:space="preserve"> </w:t>
            </w:r>
            <w:proofErr w:type="spellStart"/>
            <w:r w:rsidRPr="00EE5B1B">
              <w:rPr>
                <w:lang w:val="en-US"/>
              </w:rPr>
              <w:t>oshiriladi</w:t>
            </w:r>
            <w:proofErr w:type="spellEnd"/>
          </w:p>
        </w:tc>
      </w:tr>
      <w:tr w:rsidR="008D6BCE" w:rsidRPr="003538C2" w14:paraId="7D055EB3" w14:textId="77777777" w:rsidTr="00535C06">
        <w:trPr>
          <w:trHeight w:val="70"/>
        </w:trPr>
        <w:tc>
          <w:tcPr>
            <w:tcW w:w="3544" w:type="dxa"/>
          </w:tcPr>
          <w:p w14:paraId="0CD0EAD5" w14:textId="21E04849" w:rsidR="008D6BCE" w:rsidRPr="0075419C" w:rsidRDefault="0075419C" w:rsidP="008D6BCE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lang w:val="en-US"/>
              </w:rPr>
              <w:t>Kapitalizasiya</w:t>
            </w:r>
            <w:proofErr w:type="spellEnd"/>
          </w:p>
        </w:tc>
        <w:tc>
          <w:tcPr>
            <w:tcW w:w="6805" w:type="dxa"/>
          </w:tcPr>
          <w:p w14:paraId="45CDA37A" w14:textId="2BFEB50C" w:rsidR="008D6BCE" w:rsidRPr="00EE5B1B" w:rsidRDefault="008D6BCE" w:rsidP="008D6BCE">
            <w:pPr>
              <w:jc w:val="both"/>
              <w:rPr>
                <w:sz w:val="23"/>
                <w:szCs w:val="23"/>
                <w:lang w:val="uz-Cyrl-UZ"/>
              </w:rPr>
            </w:pPr>
            <w:proofErr w:type="spellStart"/>
            <w:r w:rsidRPr="00EE5B1B">
              <w:t>Taqdim</w:t>
            </w:r>
            <w:proofErr w:type="spellEnd"/>
            <w:r w:rsidRPr="00EE5B1B">
              <w:t xml:space="preserve"> </w:t>
            </w:r>
            <w:proofErr w:type="spellStart"/>
            <w:r w:rsidRPr="00EE5B1B">
              <w:t>etilmaydi</w:t>
            </w:r>
            <w:proofErr w:type="spellEnd"/>
          </w:p>
        </w:tc>
      </w:tr>
      <w:tr w:rsidR="008D6BCE" w:rsidRPr="00EE5B1B" w14:paraId="7936F309" w14:textId="77777777" w:rsidTr="00535C06">
        <w:tc>
          <w:tcPr>
            <w:tcW w:w="3544" w:type="dxa"/>
          </w:tcPr>
          <w:p w14:paraId="520F01FF" w14:textId="1FF04935" w:rsidR="008D6BCE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8D6BCE">
              <w:rPr>
                <w:lang w:val="en-US"/>
              </w:rPr>
              <w:t>Omonatni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muddatidan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oldin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qaytarish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yoki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qisman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yechib</w:t>
            </w:r>
            <w:proofErr w:type="spellEnd"/>
            <w:r w:rsidRPr="008D6BCE">
              <w:rPr>
                <w:lang w:val="en-US"/>
              </w:rPr>
              <w:t xml:space="preserve"> </w:t>
            </w:r>
            <w:proofErr w:type="spellStart"/>
            <w:r w:rsidRPr="008D6BCE">
              <w:rPr>
                <w:lang w:val="en-US"/>
              </w:rPr>
              <w:t>olish</w:t>
            </w:r>
            <w:proofErr w:type="spellEnd"/>
          </w:p>
        </w:tc>
        <w:tc>
          <w:tcPr>
            <w:tcW w:w="6805" w:type="dxa"/>
          </w:tcPr>
          <w:p w14:paraId="54AFD97A" w14:textId="0F3C35AB" w:rsidR="008D6BCE" w:rsidRPr="00EE5B1B" w:rsidRDefault="00EE5B1B" w:rsidP="008D6BCE">
            <w:pPr>
              <w:jc w:val="both"/>
              <w:rPr>
                <w:sz w:val="23"/>
                <w:szCs w:val="23"/>
                <w:lang w:val="uz-Cyrl-UZ"/>
              </w:rPr>
            </w:pPr>
            <w:r w:rsidRPr="00EE5B1B">
              <w:rPr>
                <w:lang w:val="uz-Cyrl-UZ"/>
              </w:rPr>
              <w:t>Banking ichki qoidalarga rioya qilgan holda individual tarzda belgilanadi</w:t>
            </w:r>
          </w:p>
        </w:tc>
      </w:tr>
      <w:tr w:rsidR="008D6BCE" w:rsidRPr="00EE5B1B" w14:paraId="12C0BC1F" w14:textId="77777777" w:rsidTr="00D23BD7">
        <w:tc>
          <w:tcPr>
            <w:tcW w:w="3544" w:type="dxa"/>
          </w:tcPr>
          <w:p w14:paraId="4C1698AE" w14:textId="7277BDA3" w:rsidR="008D6BCE" w:rsidRPr="00FB1FCF" w:rsidRDefault="008D6BCE" w:rsidP="008D6BCE">
            <w:pPr>
              <w:rPr>
                <w:sz w:val="23"/>
                <w:szCs w:val="23"/>
                <w:lang w:val="uz-Cyrl-UZ"/>
              </w:rPr>
            </w:pPr>
            <w:proofErr w:type="spellStart"/>
            <w:r w:rsidRPr="00106445">
              <w:t>Muddat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oxirida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depozitni</w:t>
            </w:r>
            <w:proofErr w:type="spellEnd"/>
            <w:r w:rsidRPr="00106445">
              <w:t xml:space="preserve"> </w:t>
            </w:r>
            <w:proofErr w:type="spellStart"/>
            <w:r w:rsidRPr="00106445">
              <w:t>qaytarish</w:t>
            </w:r>
            <w:proofErr w:type="spellEnd"/>
          </w:p>
        </w:tc>
        <w:tc>
          <w:tcPr>
            <w:tcW w:w="6805" w:type="dxa"/>
          </w:tcPr>
          <w:p w14:paraId="19EC2128" w14:textId="6CB86BCC" w:rsidR="008D6BCE" w:rsidRPr="0018594F" w:rsidRDefault="008D6BCE" w:rsidP="008D6BCE">
            <w:pPr>
              <w:jc w:val="both"/>
              <w:rPr>
                <w:sz w:val="23"/>
                <w:szCs w:val="23"/>
                <w:lang w:val="uz-Cyrl-UZ"/>
              </w:rPr>
            </w:pPr>
            <w:r w:rsidRPr="008D6BCE">
              <w:rPr>
                <w:lang w:val="uz-Cyrl-UZ"/>
              </w:rPr>
              <w:t>Omonatga qo‘yilgan mablag‘lar saqlash muddati o‘tgandan keyin talab qilingunga qadar (qonun hujjatlarida byudjet tashkilotlari uchun belgilangan soliq summasi chegirib tashlangan) hisob raqamiga o‘tkaziladi.</w:t>
            </w:r>
          </w:p>
        </w:tc>
      </w:tr>
      <w:tr w:rsidR="008D6BCE" w:rsidRPr="003538C2" w14:paraId="547B0A1F" w14:textId="77777777" w:rsidTr="00D23BD7">
        <w:trPr>
          <w:trHeight w:val="561"/>
        </w:trPr>
        <w:tc>
          <w:tcPr>
            <w:tcW w:w="3544" w:type="dxa"/>
          </w:tcPr>
          <w:p w14:paraId="06FDBAC5" w14:textId="4E8FA2B4" w:rsidR="008D6BCE" w:rsidRPr="0055629C" w:rsidRDefault="008D6BCE" w:rsidP="0055629C">
            <w:pPr>
              <w:jc w:val="both"/>
              <w:rPr>
                <w:lang w:val="uz-Cyrl-UZ"/>
              </w:rPr>
            </w:pPr>
            <w:r w:rsidRPr="0055629C">
              <w:rPr>
                <w:lang w:val="uz-Cyrl-UZ"/>
              </w:rPr>
              <w:t>Ro'yxatdan o'tish tartibi</w:t>
            </w:r>
          </w:p>
        </w:tc>
        <w:tc>
          <w:tcPr>
            <w:tcW w:w="6805" w:type="dxa"/>
          </w:tcPr>
          <w:p w14:paraId="4EF2D24F" w14:textId="474A7F81" w:rsidR="008D6BCE" w:rsidRPr="0055629C" w:rsidRDefault="008D6BCE" w:rsidP="0055629C">
            <w:pPr>
              <w:jc w:val="both"/>
              <w:rPr>
                <w:lang w:val="uz-Cyrl-UZ"/>
              </w:rPr>
            </w:pPr>
            <w:r w:rsidRPr="0055629C">
              <w:rPr>
                <w:lang w:val="uz-Cyrl-UZ"/>
              </w:rPr>
              <w:t>Depozit shartnomasini tuzish orqali</w:t>
            </w:r>
          </w:p>
        </w:tc>
      </w:tr>
      <w:tr w:rsidR="008D6BCE" w:rsidRPr="00EE5B1B" w14:paraId="7FF4DD5D" w14:textId="77777777" w:rsidTr="00D23BD7">
        <w:trPr>
          <w:trHeight w:val="561"/>
        </w:trPr>
        <w:tc>
          <w:tcPr>
            <w:tcW w:w="3544" w:type="dxa"/>
          </w:tcPr>
          <w:p w14:paraId="64B2DEC4" w14:textId="50EC5141" w:rsidR="008D6BCE" w:rsidRPr="0055629C" w:rsidRDefault="008D6BCE" w:rsidP="0055629C">
            <w:pPr>
              <w:jc w:val="both"/>
              <w:rPr>
                <w:lang w:val="uz-Cyrl-UZ"/>
              </w:rPr>
            </w:pPr>
            <w:r w:rsidRPr="0055629C">
              <w:rPr>
                <w:lang w:val="uz-Cyrl-UZ"/>
              </w:rPr>
              <w:t>Depozit</w:t>
            </w:r>
            <w:r w:rsidR="0055629C">
              <w:rPr>
                <w:lang w:val="uz-Cyrl-UZ"/>
              </w:rPr>
              <w:t xml:space="preserve"> </w:t>
            </w:r>
            <w:proofErr w:type="spellStart"/>
            <w:r w:rsidR="0055629C">
              <w:rPr>
                <w:lang w:val="en-US"/>
              </w:rPr>
              <w:t>bo‘yicha</w:t>
            </w:r>
            <w:proofErr w:type="spellEnd"/>
            <w:r w:rsidR="0055629C">
              <w:rPr>
                <w:lang w:val="en-US"/>
              </w:rPr>
              <w:t xml:space="preserve"> </w:t>
            </w:r>
            <w:proofErr w:type="spellStart"/>
            <w:r w:rsidR="0055629C">
              <w:rPr>
                <w:lang w:val="en-US"/>
              </w:rPr>
              <w:t>kamaymaydigan</w:t>
            </w:r>
            <w:proofErr w:type="spellEnd"/>
            <w:r w:rsidR="0055629C">
              <w:rPr>
                <w:lang w:val="en-US"/>
              </w:rPr>
              <w:t xml:space="preserve"> </w:t>
            </w:r>
            <w:r w:rsidRPr="0055629C">
              <w:rPr>
                <w:lang w:val="uz-Cyrl-UZ"/>
              </w:rPr>
              <w:t>qoldi</w:t>
            </w:r>
            <w:r w:rsidR="0055629C">
              <w:rPr>
                <w:lang w:val="en-US"/>
              </w:rPr>
              <w:t>q</w:t>
            </w:r>
          </w:p>
        </w:tc>
        <w:tc>
          <w:tcPr>
            <w:tcW w:w="6805" w:type="dxa"/>
          </w:tcPr>
          <w:p w14:paraId="3D18EACF" w14:textId="75E4C3F5" w:rsidR="008D6BCE" w:rsidRPr="0055629C" w:rsidRDefault="008D6BCE" w:rsidP="0055629C">
            <w:pPr>
              <w:jc w:val="both"/>
              <w:rPr>
                <w:lang w:val="uz-Cyrl-UZ"/>
              </w:rPr>
            </w:pPr>
            <w:r w:rsidRPr="0055629C">
              <w:rPr>
                <w:lang w:val="uz-Cyrl-UZ"/>
              </w:rPr>
              <w:t>Omonat summasining 10% (to'liq muddatidan oldin to'lash holatlariga taalluqli emas)</w:t>
            </w:r>
          </w:p>
        </w:tc>
      </w:tr>
      <w:tr w:rsidR="008D6BCE" w:rsidRPr="00EE5B1B" w14:paraId="360F1A79" w14:textId="77777777" w:rsidTr="00DE357D">
        <w:tc>
          <w:tcPr>
            <w:tcW w:w="3544" w:type="dxa"/>
          </w:tcPr>
          <w:p w14:paraId="0F4036E8" w14:textId="281D0F02" w:rsidR="008D6BCE" w:rsidRPr="0055629C" w:rsidRDefault="008D6BCE" w:rsidP="0055629C">
            <w:pPr>
              <w:jc w:val="both"/>
              <w:rPr>
                <w:lang w:val="uz-Cyrl-UZ"/>
              </w:rPr>
            </w:pPr>
            <w:r w:rsidRPr="0055629C">
              <w:rPr>
                <w:lang w:val="uz-Cyrl-UZ"/>
              </w:rPr>
              <w:t>Mijozlar</w:t>
            </w:r>
          </w:p>
        </w:tc>
        <w:tc>
          <w:tcPr>
            <w:tcW w:w="6805" w:type="dxa"/>
          </w:tcPr>
          <w:p w14:paraId="2D872E7C" w14:textId="0237333C" w:rsidR="008D6BCE" w:rsidRPr="003E54CF" w:rsidRDefault="008D6BCE" w:rsidP="003E54C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56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“Ipoteka-bank” AT</w:t>
            </w:r>
            <w:r w:rsidR="00556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56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B </w:t>
            </w:r>
            <w:proofErr w:type="spellStart"/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korporativ</w:t>
            </w:r>
            <w:proofErr w:type="spellEnd"/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mijozlari</w:t>
            </w:r>
            <w:proofErr w:type="spellEnd"/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</w:t>
            </w:r>
            <w:r w:rsidRPr="00556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va boshqa banklar mijozlari</w:t>
            </w:r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="003E5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uchun</w:t>
            </w:r>
            <w:proofErr w:type="spellEnd"/>
          </w:p>
        </w:tc>
      </w:tr>
    </w:tbl>
    <w:p w14:paraId="6A5BDF3C" w14:textId="77777777" w:rsidR="0080006A" w:rsidRPr="008D6BCE" w:rsidRDefault="0080006A" w:rsidP="0080006A">
      <w:pPr>
        <w:pStyle w:val="ac"/>
        <w:widowControl w:val="0"/>
        <w:tabs>
          <w:tab w:val="left" w:pos="8511"/>
        </w:tabs>
        <w:spacing w:before="40" w:after="40" w:line="312" w:lineRule="auto"/>
        <w:ind w:firstLine="0"/>
        <w:rPr>
          <w:b/>
          <w:sz w:val="24"/>
          <w:lang w:val="en-US"/>
        </w:rPr>
      </w:pPr>
    </w:p>
    <w:p w14:paraId="2E180322" w14:textId="6ED6DE2D" w:rsidR="009F5F48" w:rsidRPr="008D6BCE" w:rsidRDefault="009F5F48">
      <w:pPr>
        <w:rPr>
          <w:lang w:val="en-US"/>
        </w:rPr>
      </w:pPr>
    </w:p>
    <w:sectPr w:rsidR="009F5F48" w:rsidRPr="008D6BCE" w:rsidSect="0080006A">
      <w:pgSz w:w="11906" w:h="16838"/>
      <w:pgMar w:top="56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6A"/>
    <w:rsid w:val="00026FC1"/>
    <w:rsid w:val="001232D1"/>
    <w:rsid w:val="0017482F"/>
    <w:rsid w:val="001D6E76"/>
    <w:rsid w:val="002B26E8"/>
    <w:rsid w:val="002B7FDF"/>
    <w:rsid w:val="00354F2B"/>
    <w:rsid w:val="003E54CF"/>
    <w:rsid w:val="005043E0"/>
    <w:rsid w:val="00515E80"/>
    <w:rsid w:val="0053523A"/>
    <w:rsid w:val="0054719C"/>
    <w:rsid w:val="00551D8A"/>
    <w:rsid w:val="0055629C"/>
    <w:rsid w:val="005B6F99"/>
    <w:rsid w:val="00674464"/>
    <w:rsid w:val="0071372E"/>
    <w:rsid w:val="00721221"/>
    <w:rsid w:val="0074353E"/>
    <w:rsid w:val="0075419C"/>
    <w:rsid w:val="0079308A"/>
    <w:rsid w:val="007E0F1C"/>
    <w:rsid w:val="0080006A"/>
    <w:rsid w:val="00854378"/>
    <w:rsid w:val="008B67B1"/>
    <w:rsid w:val="008D6BCE"/>
    <w:rsid w:val="008E0A5A"/>
    <w:rsid w:val="008F7A26"/>
    <w:rsid w:val="00971DE0"/>
    <w:rsid w:val="009D1C8A"/>
    <w:rsid w:val="009F5F48"/>
    <w:rsid w:val="009F66ED"/>
    <w:rsid w:val="00A2415A"/>
    <w:rsid w:val="00BE14FD"/>
    <w:rsid w:val="00C31C85"/>
    <w:rsid w:val="00C520F5"/>
    <w:rsid w:val="00C6081F"/>
    <w:rsid w:val="00CF0F47"/>
    <w:rsid w:val="00CF4354"/>
    <w:rsid w:val="00D06D1F"/>
    <w:rsid w:val="00D36A19"/>
    <w:rsid w:val="00DE1310"/>
    <w:rsid w:val="00E12A00"/>
    <w:rsid w:val="00E318F9"/>
    <w:rsid w:val="00E50AD6"/>
    <w:rsid w:val="00EE5B1B"/>
    <w:rsid w:val="00F110DA"/>
    <w:rsid w:val="00F26041"/>
    <w:rsid w:val="00F26FE4"/>
    <w:rsid w:val="00F360EF"/>
    <w:rsid w:val="00F97DEC"/>
    <w:rsid w:val="00FB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C9D9"/>
  <w15:chartTrackingRefBased/>
  <w15:docId w15:val="{16DBFEC3-B511-4779-BA2F-4B292D15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0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0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0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06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rsid w:val="0080006A"/>
    <w:pPr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80006A"/>
    <w:rPr>
      <w:rFonts w:ascii="Times New Roman" w:eastAsia="Times New Roman" w:hAnsi="Times New Roman" w:cs="Times New Roman"/>
      <w:kern w:val="0"/>
      <w:sz w:val="28"/>
      <w:szCs w:val="24"/>
      <w:lang w:val="ru" w:eastAsia="ru-RU"/>
      <w14:ligatures w14:val="none"/>
    </w:rPr>
  </w:style>
  <w:style w:type="table" w:styleId="ae">
    <w:name w:val="Table Grid"/>
    <w:basedOn w:val="a1"/>
    <w:uiPriority w:val="59"/>
    <w:rsid w:val="008000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c9d02-e16f-4743-b1cf-35188e873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CEB11A03B3419523412B99BC0551" ma:contentTypeVersion="6" ma:contentTypeDescription="Create a new document." ma:contentTypeScope="" ma:versionID="6e550b6e6de7f56ba3a11149e27e7572">
  <xsd:schema xmlns:xsd="http://www.w3.org/2001/XMLSchema" xmlns:xs="http://www.w3.org/2001/XMLSchema" xmlns:p="http://schemas.microsoft.com/office/2006/metadata/properties" xmlns:ns3="bf4c9d02-e16f-4743-b1cf-35188e873044" targetNamespace="http://schemas.microsoft.com/office/2006/metadata/properties" ma:root="true" ma:fieldsID="7b52809430a72caa7f9541f747f74d80" ns3:_="">
    <xsd:import namespace="bf4c9d02-e16f-4743-b1cf-35188e8730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9d02-e16f-4743-b1cf-35188e873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FF604-148F-4EC9-B7BD-38D8B0D716D1}">
  <ds:schemaRefs>
    <ds:schemaRef ds:uri="http://schemas.microsoft.com/office/2006/metadata/properties"/>
    <ds:schemaRef ds:uri="http://schemas.microsoft.com/office/infopath/2007/PartnerControls"/>
    <ds:schemaRef ds:uri="bf4c9d02-e16f-4743-b1cf-35188e873044"/>
  </ds:schemaRefs>
</ds:datastoreItem>
</file>

<file path=customXml/itemProps2.xml><?xml version="1.0" encoding="utf-8"?>
<ds:datastoreItem xmlns:ds="http://schemas.openxmlformats.org/officeDocument/2006/customXml" ds:itemID="{FE3AB64D-0AD9-4068-B07A-860AF3B43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c9d02-e16f-4743-b1cf-35188e87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9E1B8-6CB2-4D0C-B025-DB69880A4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1</Pages>
  <Words>252</Words>
  <Characters>1334</Characters>
  <Application>Microsoft Office Word</Application>
  <DocSecurity>0</DocSecurity>
  <Lines>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Durdona R. Nadjimova</dc:creator>
  <cp:keywords/>
  <dc:description/>
  <cp:lastModifiedBy>Durdona R. Nadjimova</cp:lastModifiedBy>
  <cp:revision>9</cp:revision>
  <cp:lastPrinted>2025-05-28T15:25:00Z</cp:lastPrinted>
  <dcterms:created xsi:type="dcterms:W3CDTF">2025-04-25T04:55:00Z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0x010100D839CEB11A03B3419523412B99BC0551</vt:lpwstr>
  </property>
</Properties>
</file>